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500"/>
        <w:jc w:val="center"/>
      </w:pPr>
      <w:r>
        <w:rPr>
          <w:b/>
          <w:bCs/>
          <w:color w:val="1B3A57"/>
          <w:sz w:val="48"/>
          <w:szCs w:val="48"/>
        </w:rPr>
        <w:t xml:space="preserve">CAHIER DES CHARGES</w:t>
      </w:r>
    </w:p>
    <w:p>
      <w:pPr>
        <w:spacing w:before="100"/>
        <w:jc w:val="center"/>
      </w:pPr>
      <w:r>
        <w:rPr>
          <w:i/>
          <w:iCs/>
          <w:color w:val="1B3A57"/>
          <w:sz w:val="32"/>
          <w:szCs w:val="32"/>
        </w:rPr>
        <w:t xml:space="preserve">Fonctionnel et technique</w:t>
      </w:r>
    </w:p>
    <w:p>
      <w:pPr>
        <w:spacing w:before="800"/>
        <w:jc w:val="center"/>
      </w:pPr>
      <w:r>
        <w:rPr>
          <w:b/>
          <w:bCs/>
          <w:color w:val="E07B2C"/>
          <w:sz w:val="56"/>
          <w:szCs w:val="56"/>
        </w:rPr>
        <w:t xml:space="preserve">Projet TOOLBOX24</w:t>
      </w:r>
    </w:p>
    <w:p>
      <w:pPr>
        <w:spacing w:before="200"/>
        <w:jc w:val="center"/>
      </w:pPr>
      <w:r>
        <w:rPr>
          <w:i/>
          <w:iCs/>
          <w:color w:val="1B3A57"/>
          <w:sz w:val="24"/>
          <w:szCs w:val="24"/>
        </w:rPr>
        <w:t xml:space="preserve">Plateforme de location libre-service d'outillage professionnel</w:t>
      </w:r>
    </w:p>
    <w:p>
      <w:pPr>
        <w:spacing w:before="1500"/>
        <w:jc w:val="center"/>
      </w:pPr>
      <w:r>
        <w:rPr>
          <w:b/>
          <w:bCs/>
          <w:color w:val="555555"/>
          <w:sz w:val="22"/>
          <w:szCs w:val="22"/>
        </w:rPr>
        <w:t xml:space="preserve">Maître d'ouvrage</w:t>
      </w:r>
    </w:p>
    <w:p>
      <w:pPr>
        <w:spacing w:before="60"/>
        <w:jc w:val="center"/>
      </w:pPr>
      <w:r>
        <w:rPr>
          <w:color w:val="1B3A57"/>
          <w:sz w:val="24"/>
          <w:szCs w:val="24"/>
        </w:rPr>
        <w:t xml:space="preserve">CSHM Groupe — Toolbox24</w:t>
      </w:r>
    </w:p>
    <w:p>
      <w:pPr>
        <w:spacing w:before="60"/>
        <w:jc w:val="center"/>
      </w:pPr>
      <w:r>
        <w:rPr>
          <w:i/>
          <w:iCs/>
          <w:color w:val="555555"/>
          <w:sz w:val="22"/>
          <w:szCs w:val="22"/>
        </w:rPr>
        <w:t xml:space="preserve">Représenté par Cédric Thibaudet</w:t>
      </w:r>
    </w:p>
    <w:p>
      <w:pPr>
        <w:spacing w:before="400"/>
        <w:jc w:val="center"/>
      </w:pPr>
      <w:r>
        <w:rPr>
          <w:b/>
          <w:bCs/>
          <w:color w:val="555555"/>
          <w:sz w:val="22"/>
          <w:szCs w:val="22"/>
        </w:rPr>
        <w:t xml:space="preserve">Maître d'œuvre</w:t>
      </w:r>
    </w:p>
    <w:p>
      <w:pPr>
        <w:spacing w:before="60"/>
        <w:jc w:val="center"/>
      </w:pPr>
      <w:r>
        <w:rPr>
          <w:color w:val="1B3A57"/>
          <w:sz w:val="24"/>
          <w:szCs w:val="24"/>
        </w:rPr>
        <w:t xml:space="preserve">THILLION AGENCY</w:t>
      </w:r>
    </w:p>
    <w:p>
      <w:pPr>
        <w:spacing w:before="60"/>
        <w:jc w:val="center"/>
      </w:pPr>
      <w:r>
        <w:rPr>
          <w:i/>
          <w:iCs/>
          <w:color w:val="555555"/>
          <w:sz w:val="22"/>
          <w:szCs w:val="22"/>
        </w:rPr>
        <w:t xml:space="preserve">Représenté par Guillaume Boudon</w:t>
      </w:r>
    </w:p>
    <w:p>
      <w:pPr>
        <w:spacing w:before="1000"/>
        <w:jc w:val="center"/>
      </w:pPr>
      <w:r>
        <w:rPr>
          <w:color w:val="555555"/>
          <w:sz w:val="20"/>
          <w:szCs w:val="20"/>
        </w:rPr>
        <w:t xml:space="preserve">Référence : D-2026-003</w:t>
      </w:r>
    </w:p>
    <w:p>
      <w:pPr>
        <w:spacing w:before="60"/>
        <w:jc w:val="center"/>
      </w:pPr>
      <w:r>
        <w:rPr>
          <w:color w:val="555555"/>
          <w:sz w:val="20"/>
          <w:szCs w:val="20"/>
        </w:rPr>
        <w:t xml:space="preserve">Version 1.0 — Avril 2026</w:t>
      </w:r>
    </w:p>
    <w:p>
      <w:pPr>
        <w:pStyle w:val="Heading1"/>
        <w:pageBreakBefore/>
      </w:pPr>
      <w:r>
        <w:rPr>
          <w:b/>
          <w:bCs/>
          <w:color w:val="1B3A57"/>
          <w:sz w:val="36"/>
          <w:szCs w:val="36"/>
        </w:rPr>
        <w:t xml:space="preserve">Sommaire</w:t>
      </w:r>
    </w:p>
    <w:p>
      <w:pPr>
        <w:spacing w:after="80" w:before="80"/>
      </w:pPr>
      <w:r>
        <w:rPr>
          <w:b/>
          <w:bCs/>
          <w:i w:val="false"/>
          <w:iCs w:val="false"/>
          <w:color w:val="000000"/>
          <w:sz w:val="22"/>
          <w:szCs w:val="22"/>
        </w:rPr>
        <w:t xml:space="preserve">1. Préambule et parties prenantes</w:t>
      </w:r>
    </w:p>
    <w:p>
      <w:pPr>
        <w:spacing w:after="80" w:before="80"/>
      </w:pPr>
      <w:r>
        <w:rPr>
          <w:b/>
          <w:bCs/>
          <w:i w:val="false"/>
          <w:iCs w:val="false"/>
          <w:color w:val="000000"/>
          <w:sz w:val="22"/>
          <w:szCs w:val="22"/>
        </w:rPr>
        <w:t xml:space="preserve">2. Contexte et enjeux du projet</w:t>
      </w:r>
    </w:p>
    <w:p>
      <w:pPr>
        <w:spacing w:after="80" w:before="80"/>
      </w:pPr>
      <w:r>
        <w:rPr>
          <w:b/>
          <w:bCs/>
          <w:i w:val="false"/>
          <w:iCs w:val="false"/>
          <w:color w:val="000000"/>
          <w:sz w:val="22"/>
          <w:szCs w:val="22"/>
        </w:rPr>
        <w:t xml:space="preserve">3. Présentation de la solution</w:t>
      </w:r>
    </w:p>
    <w:p>
      <w:pPr>
        <w:spacing w:after="80" w:before="80"/>
      </w:pPr>
      <w:r>
        <w:rPr>
          <w:b/>
          <w:bCs/>
          <w:i w:val="false"/>
          <w:iCs w:val="false"/>
          <w:color w:val="000000"/>
          <w:sz w:val="22"/>
          <w:szCs w:val="22"/>
        </w:rPr>
        <w:t xml:space="preserve">4. Périmètre du projet</w:t>
      </w:r>
    </w:p>
    <w:p>
      <w:pPr>
        <w:spacing w:after="80" w:before="80"/>
      </w:pPr>
      <w:r>
        <w:rPr>
          <w:b/>
          <w:bCs/>
          <w:i w:val="false"/>
          <w:iCs w:val="false"/>
          <w:color w:val="000000"/>
          <w:sz w:val="22"/>
          <w:szCs w:val="22"/>
        </w:rPr>
        <w:t xml:space="preserve">5. Description fonctionnelle</w:t>
      </w:r>
    </w:p>
    <w:p>
      <w:pPr>
        <w:spacing w:after="80" w:before="80"/>
      </w:pPr>
      <w:r>
        <w:rPr>
          <w:b/>
          <w:bCs/>
          <w:i w:val="false"/>
          <w:iCs w:val="false"/>
          <w:color w:val="000000"/>
          <w:sz w:val="22"/>
          <w:szCs w:val="22"/>
        </w:rPr>
        <w:t xml:space="preserve">6. Spécifications techniques</w:t>
      </w:r>
    </w:p>
    <w:p>
      <w:pPr>
        <w:spacing w:after="80" w:before="80"/>
      </w:pPr>
      <w:r>
        <w:rPr>
          <w:b/>
          <w:bCs/>
          <w:i w:val="false"/>
          <w:iCs w:val="false"/>
          <w:color w:val="000000"/>
          <w:sz w:val="22"/>
          <w:szCs w:val="22"/>
        </w:rPr>
        <w:t xml:space="preserve">7. Contraintes et obligations</w:t>
      </w:r>
    </w:p>
    <w:p>
      <w:pPr>
        <w:spacing w:after="80" w:before="80"/>
      </w:pPr>
      <w:r>
        <w:rPr>
          <w:b/>
          <w:bCs/>
          <w:i w:val="false"/>
          <w:iCs w:val="false"/>
          <w:color w:val="000000"/>
          <w:sz w:val="22"/>
          <w:szCs w:val="22"/>
        </w:rPr>
        <w:t xml:space="preserve">8. Planning, jalons et livrables</w:t>
      </w:r>
    </w:p>
    <w:p>
      <w:pPr>
        <w:spacing w:after="80" w:before="80"/>
      </w:pPr>
      <w:r>
        <w:rPr>
          <w:b/>
          <w:bCs/>
          <w:i w:val="false"/>
          <w:iCs w:val="false"/>
          <w:color w:val="000000"/>
          <w:sz w:val="22"/>
          <w:szCs w:val="22"/>
        </w:rPr>
        <w:t xml:space="preserve">9. Critères d'acceptation et recette</w:t>
      </w:r>
    </w:p>
    <w:p>
      <w:pPr>
        <w:spacing w:after="80" w:before="80"/>
      </w:pPr>
      <w:r>
        <w:rPr>
          <w:b/>
          <w:bCs/>
          <w:i w:val="false"/>
          <w:iCs w:val="false"/>
          <w:color w:val="000000"/>
          <w:sz w:val="22"/>
          <w:szCs w:val="22"/>
        </w:rPr>
        <w:t xml:space="preserve">10. Conditions financières</w:t>
      </w:r>
    </w:p>
    <w:p>
      <w:pPr>
        <w:spacing w:after="80" w:before="80"/>
      </w:pPr>
      <w:r>
        <w:rPr>
          <w:b/>
          <w:bCs/>
          <w:i w:val="false"/>
          <w:iCs w:val="false"/>
          <w:color w:val="000000"/>
          <w:sz w:val="22"/>
          <w:szCs w:val="22"/>
        </w:rPr>
        <w:t xml:space="preserve">11. Gouvernance et modalités de suivi</w:t>
      </w:r>
    </w:p>
    <w:p>
      <w:pPr>
        <w:spacing w:after="80" w:before="80"/>
      </w:pPr>
      <w:r>
        <w:rPr>
          <w:b/>
          <w:bCs/>
          <w:i w:val="false"/>
          <w:iCs w:val="false"/>
          <w:color w:val="000000"/>
          <w:sz w:val="22"/>
          <w:szCs w:val="22"/>
        </w:rPr>
        <w:t xml:space="preserve">12. Maintenance et garantie</w:t>
      </w:r>
    </w:p>
    <w:p>
      <w:pPr>
        <w:spacing w:after="80" w:before="80"/>
      </w:pPr>
      <w:r>
        <w:rPr>
          <w:b/>
          <w:bCs/>
          <w:i w:val="false"/>
          <w:iCs w:val="false"/>
          <w:color w:val="000000"/>
          <w:sz w:val="22"/>
          <w:szCs w:val="22"/>
        </w:rPr>
        <w:t xml:space="preserve">13. Propriété intellectuelle et confidentialité</w:t>
      </w:r>
    </w:p>
    <w:p>
      <w:pPr>
        <w:spacing w:after="80" w:before="80"/>
      </w:pPr>
      <w:r>
        <w:rPr>
          <w:b/>
          <w:bCs/>
          <w:i w:val="false"/>
          <w:iCs w:val="false"/>
          <w:color w:val="000000"/>
          <w:sz w:val="22"/>
          <w:szCs w:val="22"/>
        </w:rPr>
        <w:t xml:space="preserve">14. Risques projet et mitigation</w:t>
      </w:r>
    </w:p>
    <w:p>
      <w:pPr>
        <w:spacing w:after="80" w:before="80"/>
      </w:pPr>
      <w:r>
        <w:rPr>
          <w:b/>
          <w:bCs/>
          <w:i w:val="false"/>
          <w:iCs w:val="false"/>
          <w:color w:val="000000"/>
          <w:sz w:val="22"/>
          <w:szCs w:val="22"/>
        </w:rPr>
        <w:t xml:space="preserve">15. Conditions générales et signatures</w:t>
      </w:r>
    </w:p>
    <w:p>
      <w:pPr>
        <w:spacing w:after="80" w:before="80"/>
      </w:pPr>
      <w:r>
        <w:rPr>
          <w:b/>
          <w:bCs/>
          <w:i w:val="false"/>
          <w:iCs w:val="false"/>
          <w:color w:val="000000"/>
          <w:sz w:val="22"/>
          <w:szCs w:val="22"/>
        </w:rPr>
        <w:t xml:space="preserve">Annexes : glossaire, documents associés</w:t>
      </w:r>
    </w:p>
    <w:p>
      <w:pPr>
        <w:pStyle w:val="Heading1"/>
        <w:pageBreakBefore/>
      </w:pPr>
      <w:r>
        <w:rPr>
          <w:b/>
          <w:bCs/>
          <w:color w:val="1B3A57"/>
          <w:sz w:val="36"/>
          <w:szCs w:val="36"/>
        </w:rPr>
        <w:t xml:space="preserve">1. Préambule et parties prenantes</w:t>
      </w:r>
    </w:p>
    <w:p>
      <w:pPr>
        <w:pStyle w:val="Heading2"/>
        <w:spacing w:after="120" w:before="240"/>
      </w:pPr>
      <w:r>
        <w:rPr>
          <w:b/>
          <w:bCs/>
          <w:color w:val="1B3A57"/>
          <w:sz w:val="28"/>
          <w:szCs w:val="28"/>
        </w:rPr>
        <w:t xml:space="preserve">1.1 Objet du document</w:t>
      </w:r>
    </w:p>
    <w:p>
      <w:pPr>
        <w:spacing w:after="80" w:before="80"/>
      </w:pPr>
      <w:r>
        <w:rPr>
          <w:b w:val="false"/>
          <w:bCs w:val="false"/>
          <w:i w:val="false"/>
          <w:iCs w:val="false"/>
          <w:color w:val="000000"/>
          <w:sz w:val="22"/>
          <w:szCs w:val="22"/>
        </w:rPr>
        <w:t xml:space="preserve">Le présent cahier des charges décrit l'ensemble des spécifications fonctionnelles, techniques, organisationnelles et contractuelles relatives à la conception et au développement de la plateforme Toolbox24 — version MVP (Minimum Viable Product) — par Thillion Agency pour le compte de CSHM Groupe.</w:t>
      </w:r>
    </w:p>
    <w:p>
      <w:pPr>
        <w:spacing w:after="80" w:before="80"/>
      </w:pPr>
      <w:r>
        <w:rPr>
          <w:b w:val="false"/>
          <w:bCs w:val="false"/>
          <w:i w:val="false"/>
          <w:iCs w:val="false"/>
          <w:color w:val="000000"/>
          <w:sz w:val="22"/>
          <w:szCs w:val="22"/>
        </w:rPr>
        <w:t xml:space="preserve">Il constitue le document de référence du projet et engage les deux parties signataires sur le périmètre, les délais et les conditions d'exécution décrits ci-après.</w:t>
      </w:r>
    </w:p>
    <w:p>
      <w:pPr>
        <w:pStyle w:val="Heading2"/>
        <w:spacing w:after="120" w:before="240"/>
      </w:pPr>
      <w:r>
        <w:rPr>
          <w:b/>
          <w:bCs/>
          <w:color w:val="1B3A57"/>
          <w:sz w:val="28"/>
          <w:szCs w:val="28"/>
        </w:rPr>
        <w:t xml:space="preserve">1.2 Maître d'ouvrage</w:t>
      </w:r>
    </w:p>
    <w:p>
      <w:pPr>
        <w:pStyle w:val="ListParagraph"/>
        <w:numPr>
          <w:ilvl w:val="0"/>
          <w:numId w:val="2"/>
        </w:numPr>
        <w:spacing w:after="30" w:before="30"/>
      </w:pPr>
      <w:r>
        <w:rPr>
          <w:b/>
          <w:bCs/>
        </w:rPr>
        <w:t xml:space="preserve">Société : </w:t>
      </w:r>
      <w:r>
        <w:t xml:space="preserve">CSHM Groupe — Toolbox24</w:t>
      </w:r>
    </w:p>
    <w:p>
      <w:pPr>
        <w:pStyle w:val="ListParagraph"/>
        <w:numPr>
          <w:ilvl w:val="0"/>
          <w:numId w:val="2"/>
        </w:numPr>
        <w:spacing w:after="30" w:before="30"/>
      </w:pPr>
      <w:r>
        <w:rPr>
          <w:b/>
          <w:bCs/>
        </w:rPr>
        <w:t xml:space="preserve">Représentant : </w:t>
      </w:r>
      <w:r>
        <w:t xml:space="preserve">Cédric Thibaudet</w:t>
      </w:r>
    </w:p>
    <w:p>
      <w:pPr>
        <w:pStyle w:val="ListParagraph"/>
        <w:numPr>
          <w:ilvl w:val="0"/>
          <w:numId w:val="2"/>
        </w:numPr>
        <w:spacing w:after="30" w:before="30"/>
      </w:pPr>
      <w:r>
        <w:rPr>
          <w:b/>
          <w:bCs/>
        </w:rPr>
        <w:t xml:space="preserve">Rôle : </w:t>
      </w:r>
      <w:r>
        <w:t xml:space="preserve">Décideur unique du projet, propriétaire métier, validateur des livrables</w:t>
      </w:r>
    </w:p>
    <w:p>
      <w:pPr>
        <w:pStyle w:val="Heading2"/>
        <w:spacing w:after="120" w:before="240"/>
      </w:pPr>
      <w:r>
        <w:rPr>
          <w:b/>
          <w:bCs/>
          <w:color w:val="1B3A57"/>
          <w:sz w:val="28"/>
          <w:szCs w:val="28"/>
        </w:rPr>
        <w:t xml:space="preserve">1.3 Maître d'œuvre</w:t>
      </w:r>
    </w:p>
    <w:p>
      <w:pPr>
        <w:pStyle w:val="ListParagraph"/>
        <w:numPr>
          <w:ilvl w:val="0"/>
          <w:numId w:val="2"/>
        </w:numPr>
        <w:spacing w:after="30" w:before="30"/>
      </w:pPr>
      <w:r>
        <w:rPr>
          <w:b/>
          <w:bCs/>
        </w:rPr>
        <w:t xml:space="preserve">Société : </w:t>
      </w:r>
      <w:r>
        <w:t xml:space="preserve">Thillion Agency (THILLION)</w:t>
      </w:r>
    </w:p>
    <w:p>
      <w:pPr>
        <w:pStyle w:val="ListParagraph"/>
        <w:numPr>
          <w:ilvl w:val="0"/>
          <w:numId w:val="2"/>
        </w:numPr>
        <w:spacing w:after="30" w:before="30"/>
      </w:pPr>
      <w:r>
        <w:rPr>
          <w:b/>
          <w:bCs/>
        </w:rPr>
        <w:t xml:space="preserve">Représentant et chef de projet : </w:t>
      </w:r>
      <w:r>
        <w:t xml:space="preserve">Guillaume Boudon</w:t>
      </w:r>
    </w:p>
    <w:p>
      <w:pPr>
        <w:pStyle w:val="ListParagraph"/>
        <w:numPr>
          <w:ilvl w:val="0"/>
          <w:numId w:val="2"/>
        </w:numPr>
        <w:spacing w:after="30" w:before="30"/>
      </w:pPr>
      <w:r>
        <w:rPr>
          <w:b/>
          <w:bCs/>
        </w:rPr>
        <w:t xml:space="preserve">Email : </w:t>
      </w:r>
      <w:r>
        <w:t xml:space="preserve">guillaume.boudon@thillion-agency.com</w:t>
      </w:r>
    </w:p>
    <w:p>
      <w:pPr>
        <w:pStyle w:val="ListParagraph"/>
        <w:numPr>
          <w:ilvl w:val="0"/>
          <w:numId w:val="2"/>
        </w:numPr>
        <w:spacing w:after="30" w:before="30"/>
      </w:pPr>
      <w:r>
        <w:rPr>
          <w:b/>
          <w:bCs/>
        </w:rPr>
        <w:t xml:space="preserve">Rôle : </w:t>
      </w:r>
      <w:r>
        <w:t xml:space="preserve">Conception, développement, livraison de la solution. Maintenance applicative selon avenant séparé.</w:t>
      </w:r>
    </w:p>
    <w:p>
      <w:pPr>
        <w:pStyle w:val="Heading2"/>
        <w:spacing w:after="120" w:before="240"/>
      </w:pPr>
      <w:r>
        <w:rPr>
          <w:b/>
          <w:bCs/>
          <w:color w:val="1B3A57"/>
          <w:sz w:val="28"/>
          <w:szCs w:val="28"/>
        </w:rPr>
        <w:t xml:space="preserve">1.4 Documents de référence</w:t>
      </w:r>
    </w:p>
    <w:p>
      <w:pPr>
        <w:pStyle w:val="ListParagraph"/>
        <w:numPr>
          <w:ilvl w:val="0"/>
          <w:numId w:val="2"/>
        </w:numPr>
        <w:spacing w:after="30" w:before="30"/>
      </w:pPr>
      <w:r>
        <w:rPr>
          <w:b/>
          <w:bCs/>
        </w:rPr>
        <w:t xml:space="preserve">Devis </w:t>
      </w:r>
      <w:r>
        <w:t xml:space="preserve">D-2026-003 du 22 avril 2026, accepté pour un montant de 6 083,33 € HT (7 300 € TTC)</w:t>
      </w:r>
    </w:p>
    <w:p>
      <w:pPr>
        <w:pStyle w:val="ListParagraph"/>
        <w:numPr>
          <w:ilvl w:val="0"/>
          <w:numId w:val="2"/>
        </w:numPr>
        <w:spacing w:after="30" w:before="30"/>
      </w:pPr>
      <w:r>
        <w:rPr>
          <w:b/>
          <w:bCs/>
        </w:rPr>
        <w:t xml:space="preserve">Document de cadrage V1 </w:t>
      </w:r>
      <w:r>
        <w:t xml:space="preserve">transmis le 25 avril 2026</w:t>
      </w:r>
    </w:p>
    <w:p>
      <w:pPr>
        <w:pStyle w:val="ListParagraph"/>
        <w:numPr>
          <w:ilvl w:val="0"/>
          <w:numId w:val="2"/>
        </w:numPr>
        <w:spacing w:after="30" w:before="30"/>
      </w:pPr>
      <w:r>
        <w:rPr>
          <w:b/>
          <w:bCs/>
        </w:rPr>
        <w:t xml:space="preserve">Référentiel des flux fonctionnels V2 </w:t>
      </w:r>
      <w:r>
        <w:t xml:space="preserve">(annexe technique)</w:t>
      </w:r>
    </w:p>
    <w:p>
      <w:pPr>
        <w:pStyle w:val="ListParagraph"/>
        <w:numPr>
          <w:ilvl w:val="0"/>
          <w:numId w:val="2"/>
        </w:numPr>
        <w:spacing w:after="30" w:before="30"/>
      </w:pPr>
      <w:r>
        <w:rPr>
          <w:b/>
          <w:bCs/>
        </w:rPr>
        <w:t xml:space="preserve">Architecture technique V2 </w:t>
      </w:r>
      <w:r>
        <w:t xml:space="preserve">(annexe technique)</w:t>
      </w:r>
    </w:p>
    <w:p>
      <w:pPr>
        <w:pStyle w:val="ListParagraph"/>
        <w:numPr>
          <w:ilvl w:val="0"/>
          <w:numId w:val="2"/>
        </w:numPr>
        <w:spacing w:after="30" w:before="30"/>
      </w:pPr>
      <w:r>
        <w:rPr>
          <w:b/>
          <w:bCs/>
        </w:rPr>
        <w:t xml:space="preserve">Design intégration Kasier V2 </w:t>
      </w:r>
      <w:r>
        <w:t xml:space="preserve">(annexe technique)</w:t>
      </w:r>
    </w:p>
    <w:p>
      <w:pPr>
        <w:pStyle w:val="ListParagraph"/>
        <w:numPr>
          <w:ilvl w:val="0"/>
          <w:numId w:val="2"/>
        </w:numPr>
        <w:spacing w:after="30" w:before="30"/>
      </w:pPr>
      <w:r>
        <w:rPr>
          <w:b/>
          <w:bCs/>
        </w:rPr>
        <w:t xml:space="preserve">Plan de tests et déploiement V2 </w:t>
      </w:r>
      <w:r>
        <w:t xml:space="preserve">(annexe technique)</w:t>
      </w:r>
    </w:p>
    <w:p>
      <w:pPr>
        <w:pStyle w:val="Heading2"/>
        <w:spacing w:after="120" w:before="240"/>
      </w:pPr>
      <w:r>
        <w:rPr>
          <w:b/>
          <w:bCs/>
          <w:color w:val="1B3A57"/>
          <w:sz w:val="28"/>
          <w:szCs w:val="28"/>
        </w:rPr>
        <w:t xml:space="preserve">1.5 Statut du document</w:t>
      </w:r>
    </w:p>
    <w:p>
      <w:pPr>
        <w:spacing w:after="80" w:before="80"/>
      </w:pPr>
      <w:r>
        <w:rPr>
          <w:b w:val="false"/>
          <w:bCs w:val="false"/>
          <w:i w:val="false"/>
          <w:iCs w:val="false"/>
          <w:color w:val="000000"/>
          <w:sz w:val="22"/>
          <w:szCs w:val="22"/>
        </w:rPr>
        <w:t xml:space="preserve">Ce cahier des charges est ouvert à amendement avant signature. Une fois signé par les deux parties, il devient le document contractuel de référence. Toute évolution post-signature fait l'objet d'un avenant écrit signé par les deux parties.</w:t>
      </w:r>
    </w:p>
    <w:p>
      <w:pPr>
        <w:pStyle w:val="Heading1"/>
        <w:pageBreakBefore/>
      </w:pPr>
      <w:r>
        <w:rPr>
          <w:b/>
          <w:bCs/>
          <w:color w:val="1B3A57"/>
          <w:sz w:val="36"/>
          <w:szCs w:val="36"/>
        </w:rPr>
        <w:t xml:space="preserve">2. Contexte et enjeux du projet</w:t>
      </w:r>
    </w:p>
    <w:p>
      <w:pPr>
        <w:pStyle w:val="Heading2"/>
        <w:spacing w:after="120" w:before="240"/>
      </w:pPr>
      <w:r>
        <w:rPr>
          <w:b/>
          <w:bCs/>
          <w:color w:val="1B3A57"/>
          <w:sz w:val="28"/>
          <w:szCs w:val="28"/>
        </w:rPr>
        <w:t xml:space="preserve">2.1 Origine du projet</w:t>
      </w:r>
    </w:p>
    <w:p>
      <w:pPr>
        <w:spacing w:after="80" w:before="80"/>
      </w:pPr>
      <w:r>
        <w:rPr>
          <w:b w:val="false"/>
          <w:bCs w:val="false"/>
          <w:i w:val="false"/>
          <w:iCs w:val="false"/>
          <w:color w:val="000000"/>
          <w:sz w:val="22"/>
          <w:szCs w:val="22"/>
        </w:rPr>
        <w:t xml:space="preserve">CSHM Groupe développe Toolbox24, un service de location libre-service d'outillage professionnel destiné aux professionnels du bâtiment, de l'artisanat et aux particuliers réalisant des travaux. Le service repose sur un dispositif physique innovant : un container/sas sécurisé équipé de casiers connectés, accessible 7 jours sur 7 sur une plage horaire étendue, sans intermédiaire humain sur place.</w:t>
      </w:r>
    </w:p>
    <w:p>
      <w:pPr>
        <w:spacing w:after="80" w:before="80"/>
      </w:pPr>
      <w:r>
        <w:rPr>
          <w:b w:val="false"/>
          <w:bCs w:val="false"/>
          <w:i w:val="false"/>
          <w:iCs w:val="false"/>
          <w:color w:val="000000"/>
          <w:sz w:val="22"/>
          <w:szCs w:val="22"/>
        </w:rPr>
        <w:t xml:space="preserve">Le projet répond à deux problèmes structurels du marché de la location d'outillage :</w:t>
      </w:r>
    </w:p>
    <w:p>
      <w:pPr>
        <w:pStyle w:val="ListParagraph"/>
        <w:numPr>
          <w:ilvl w:val="0"/>
          <w:numId w:val="2"/>
        </w:numPr>
        <w:spacing w:after="30" w:before="30"/>
      </w:pPr>
      <w:r>
        <w:t xml:space="preserve">La disponibilité limitée du matériel professionnel en dehors des heures d'ouverture des loueurs traditionnels</w:t>
      </w:r>
    </w:p>
    <w:p>
      <w:pPr>
        <w:pStyle w:val="ListParagraph"/>
        <w:numPr>
          <w:ilvl w:val="0"/>
          <w:numId w:val="2"/>
        </w:numPr>
        <w:spacing w:after="30" w:before="30"/>
      </w:pPr>
      <w:r>
        <w:t xml:space="preserve">La rentabilisation des parcs d'outils via un dispositif libre-service sécurisé, contrôlé et traçable</w:t>
      </w:r>
    </w:p>
    <w:p>
      <w:pPr>
        <w:pStyle w:val="Heading2"/>
        <w:spacing w:after="120" w:before="240"/>
      </w:pPr>
      <w:r>
        <w:rPr>
          <w:b/>
          <w:bCs/>
          <w:color w:val="1B3A57"/>
          <w:sz w:val="28"/>
          <w:szCs w:val="28"/>
        </w:rPr>
        <w:t xml:space="preserve">2.2 Enjeux business</w:t>
      </w:r>
    </w:p>
    <w:p>
      <w:pPr>
        <w:pStyle w:val="ListParagraph"/>
        <w:numPr>
          <w:ilvl w:val="0"/>
          <w:numId w:val="2"/>
        </w:numPr>
        <w:spacing w:after="30" w:before="30"/>
      </w:pPr>
      <w:r>
        <w:rPr>
          <w:b/>
          <w:bCs/>
        </w:rPr>
        <w:t xml:space="preserve">Mise en service site pilote : </w:t>
      </w:r>
      <w:r>
        <w:t xml:space="preserve">Septembre/Octobre 2026, premier site opérationnel</w:t>
      </w:r>
    </w:p>
    <w:p>
      <w:pPr>
        <w:pStyle w:val="ListParagraph"/>
        <w:numPr>
          <w:ilvl w:val="0"/>
          <w:numId w:val="2"/>
        </w:numPr>
        <w:spacing w:after="30" w:before="30"/>
      </w:pPr>
      <w:r>
        <w:rPr>
          <w:b/>
          <w:bCs/>
        </w:rPr>
        <w:t xml:space="preserve">Déploiement progressif : </w:t>
      </w:r>
      <w:r>
        <w:t xml:space="preserve">10 sites à 12 mois, 50 sites à 24 mois, 100 sites à terme</w:t>
      </w:r>
    </w:p>
    <w:p>
      <w:pPr>
        <w:pStyle w:val="ListParagraph"/>
        <w:numPr>
          <w:ilvl w:val="0"/>
          <w:numId w:val="2"/>
        </w:numPr>
        <w:spacing w:after="30" w:before="30"/>
      </w:pPr>
      <w:r>
        <w:rPr>
          <w:b/>
          <w:bCs/>
        </w:rPr>
        <w:t xml:space="preserve">Diversification produit : </w:t>
      </w:r>
      <w:r>
        <w:t xml:space="preserve">extension envisagée à des segments adjacents (Jardibox24, etc.)</w:t>
      </w:r>
    </w:p>
    <w:p>
      <w:pPr>
        <w:pStyle w:val="ListParagraph"/>
        <w:numPr>
          <w:ilvl w:val="0"/>
          <w:numId w:val="2"/>
        </w:numPr>
        <w:spacing w:after="30" w:before="30"/>
      </w:pPr>
      <w:r>
        <w:rPr>
          <w:b/>
          <w:bCs/>
        </w:rPr>
        <w:t xml:space="preserve">Modèle économique double : </w:t>
      </w:r>
      <w:r>
        <w:t xml:space="preserve">locations ponctuelles + abonnement professionnel récurrent</w:t>
      </w:r>
    </w:p>
    <w:p>
      <w:pPr>
        <w:pStyle w:val="Heading2"/>
        <w:spacing w:after="120" w:before="240"/>
      </w:pPr>
      <w:r>
        <w:rPr>
          <w:b/>
          <w:bCs/>
          <w:color w:val="1B3A57"/>
          <w:sz w:val="28"/>
          <w:szCs w:val="28"/>
        </w:rPr>
        <w:t xml:space="preserve">2.3 Cibles utilisateur</w:t>
      </w:r>
    </w:p>
    <w:p>
      <w:pPr>
        <w:spacing w:after="80" w:before="80"/>
      </w:pPr>
      <w:r>
        <w:rPr>
          <w:b w:val="false"/>
          <w:bCs w:val="false"/>
          <w:i w:val="false"/>
          <w:iCs w:val="false"/>
          <w:color w:val="000000"/>
          <w:sz w:val="22"/>
          <w:szCs w:val="22"/>
        </w:rPr>
        <w:t xml:space="preserve">La plateforme s'adresse à deux typologies d'utilisateurs partageant le même parcours et le même dispositif :</w:t>
      </w:r>
    </w:p>
    <w:p>
      <w:pPr>
        <w:pStyle w:val="ListParagraph"/>
        <w:numPr>
          <w:ilvl w:val="0"/>
          <w:numId w:val="2"/>
        </w:numPr>
        <w:spacing w:after="30" w:before="30"/>
      </w:pPr>
      <w:r>
        <w:rPr>
          <w:b/>
          <w:bCs/>
        </w:rPr>
        <w:t xml:space="preserve">B2B — professionnels : </w:t>
      </w:r>
      <w:r>
        <w:t xml:space="preserve">entreprises du BTP, artisans indépendants, services industriels et techniques. Besoin ponctuel d'outillage pour chantier ou intervention sans immobilisation de capital.</w:t>
      </w:r>
    </w:p>
    <w:p>
      <w:pPr>
        <w:pStyle w:val="ListParagraph"/>
        <w:numPr>
          <w:ilvl w:val="0"/>
          <w:numId w:val="2"/>
        </w:numPr>
        <w:spacing w:after="30" w:before="30"/>
      </w:pPr>
      <w:r>
        <w:rPr>
          <w:b/>
          <w:bCs/>
        </w:rPr>
        <w:t xml:space="preserve">B2C — particuliers : </w:t>
      </w:r>
      <w:r>
        <w:t xml:space="preserve">bricoleurs, auto-constructeurs, propriétaires en rénovation. Besoin occasionnel d'un outil professionnel sans achat.</w:t>
      </w:r>
    </w:p>
    <w:p>
      <w:pPr>
        <w:spacing w:after="80" w:before="80"/>
      </w:pPr>
      <w:r>
        <w:rPr>
          <w:b w:val="false"/>
          <w:bCs w:val="false"/>
          <w:i w:val="false"/>
          <w:iCs w:val="false"/>
          <w:color w:val="000000"/>
          <w:sz w:val="22"/>
          <w:szCs w:val="22"/>
        </w:rPr>
        <w:t xml:space="preserve">Les écarts entre les deux cibles relèvent essentiellement des modalités tarifaires, des CGU/CGV applicables, et de l'éligibilité à l'abonnement professionnel (réservé aux comptes B2B).</w:t>
      </w:r>
    </w:p>
    <w:p>
      <w:pPr>
        <w:pStyle w:val="Heading2"/>
        <w:spacing w:after="120" w:before="240"/>
      </w:pPr>
      <w:r>
        <w:rPr>
          <w:b/>
          <w:bCs/>
          <w:color w:val="1B3A57"/>
          <w:sz w:val="28"/>
          <w:szCs w:val="28"/>
        </w:rPr>
        <w:t xml:space="preserve">2.4 Modèle économique</w:t>
      </w:r>
    </w:p>
    <w:p>
      <w:pPr>
        <w:pStyle w:val="ListParagraph"/>
        <w:numPr>
          <w:ilvl w:val="0"/>
          <w:numId w:val="2"/>
        </w:numPr>
        <w:spacing w:after="30" w:before="30"/>
      </w:pPr>
      <w:r>
        <w:rPr>
          <w:b/>
          <w:bCs/>
        </w:rPr>
        <w:t xml:space="preserve">Revenu transactionnel : </w:t>
      </w:r>
      <w:r>
        <w:t xml:space="preserve">tarifs de location à l'heure, demi-journée, journée, semaine — paramétrables côté administrateur</w:t>
      </w:r>
    </w:p>
    <w:p>
      <w:pPr>
        <w:pStyle w:val="ListParagraph"/>
        <w:numPr>
          <w:ilvl w:val="0"/>
          <w:numId w:val="2"/>
        </w:numPr>
        <w:spacing w:after="30" w:before="30"/>
      </w:pPr>
      <w:r>
        <w:rPr>
          <w:b/>
          <w:bCs/>
        </w:rPr>
        <w:t xml:space="preserve">Revenu récurrent : </w:t>
      </w:r>
      <w:r>
        <w:t xml:space="preserve">abonnement professionnel mensuel donnant accès à un discount sur les locations (taux à fixer entre les parties)</w:t>
      </w:r>
    </w:p>
    <w:p>
      <w:pPr>
        <w:pStyle w:val="ListParagraph"/>
        <w:numPr>
          <w:ilvl w:val="0"/>
          <w:numId w:val="2"/>
        </w:numPr>
        <w:spacing w:after="30" w:before="30"/>
      </w:pPr>
      <w:r>
        <w:rPr>
          <w:b/>
          <w:bCs/>
        </w:rPr>
        <w:t xml:space="preserve">Caution : </w:t>
      </w:r>
      <w:r>
        <w:t xml:space="preserve">pré-autorisée à la réservation, capturée en partie ou totalité en cas de dégradation, libérée sous 12 à 24 heures après validation humaine</w:t>
      </w:r>
    </w:p>
    <w:p>
      <w:pPr>
        <w:pStyle w:val="ListParagraph"/>
        <w:numPr>
          <w:ilvl w:val="0"/>
          <w:numId w:val="2"/>
        </w:numPr>
        <w:spacing w:after="30" w:before="30"/>
      </w:pPr>
      <w:r>
        <w:rPr>
          <w:b/>
          <w:bCs/>
        </w:rPr>
        <w:t xml:space="preserve">Vente de consommables : </w:t>
      </w:r>
      <w:r>
        <w:t xml:space="preserve">casiers dédiés à la vente directe (mèches, lames, pièces d'usure)</w:t>
      </w:r>
    </w:p>
    <w:p>
      <w:pPr>
        <w:pStyle w:val="Heading1"/>
        <w:pageBreakBefore/>
      </w:pPr>
      <w:r>
        <w:rPr>
          <w:b/>
          <w:bCs/>
          <w:color w:val="1B3A57"/>
          <w:sz w:val="36"/>
          <w:szCs w:val="36"/>
        </w:rPr>
        <w:t xml:space="preserve">3. Présentation de la solution</w:t>
      </w:r>
    </w:p>
    <w:p>
      <w:pPr>
        <w:pStyle w:val="Heading2"/>
        <w:spacing w:after="120" w:before="240"/>
      </w:pPr>
      <w:r>
        <w:rPr>
          <w:b/>
          <w:bCs/>
          <w:color w:val="1B3A57"/>
          <w:sz w:val="28"/>
          <w:szCs w:val="28"/>
        </w:rPr>
        <w:t xml:space="preserve">3.1 Vision produit</w:t>
      </w:r>
    </w:p>
    <w:p>
      <w:pPr>
        <w:spacing w:after="80" w:before="80"/>
      </w:pPr>
      <w:r>
        <w:rPr>
          <w:b w:val="false"/>
          <w:bCs w:val="false"/>
          <w:i w:val="false"/>
          <w:iCs w:val="false"/>
          <w:color w:val="000000"/>
          <w:sz w:val="22"/>
          <w:szCs w:val="22"/>
        </w:rPr>
        <w:t xml:space="preserve">Toolbox24 est une plateforme web responsive (PWA) couplée à un dispositif physique (sas + casiers connectés) permettant à l'utilisateur de réserver, retirer, utiliser puis restituer du matériel professionnel sans intervention humaine sur site, avec un dispositif sécurisé de gestion de caution s'appuyant sur un moteur d'analyse multi-signal et une validation humaine systématique.</w:t>
      </w:r>
    </w:p>
    <w:p>
      <w:pPr>
        <w:pStyle w:val="Heading2"/>
        <w:spacing w:after="120" w:before="240"/>
      </w:pPr>
      <w:r>
        <w:rPr>
          <w:b/>
          <w:bCs/>
          <w:color w:val="1B3A57"/>
          <w:sz w:val="28"/>
          <w:szCs w:val="28"/>
        </w:rPr>
        <w:t xml:space="preserve">3.2 Principes structurants du service</w:t>
      </w:r>
    </w:p>
    <w:p>
      <w:pPr>
        <w:pStyle w:val="ListParagraph"/>
        <w:numPr>
          <w:ilvl w:val="0"/>
          <w:numId w:val="2"/>
        </w:numPr>
        <w:spacing w:after="30" w:before="30"/>
      </w:pPr>
      <w:r>
        <w:rPr>
          <w:b/>
          <w:bCs/>
        </w:rPr>
        <w:t xml:space="preserve">Accès en deux temps : </w:t>
      </w:r>
      <w:r>
        <w:t xml:space="preserve">porte du sas puis casier individuel, ouverts par scan de QR code (smartphone) ou saisie de code PIN à la borne (mode dégradé)</w:t>
      </w:r>
    </w:p>
    <w:p>
      <w:pPr>
        <w:pStyle w:val="ListParagraph"/>
        <w:numPr>
          <w:ilvl w:val="0"/>
          <w:numId w:val="2"/>
        </w:numPr>
        <w:spacing w:after="30" w:before="30"/>
      </w:pPr>
      <w:r>
        <w:rPr>
          <w:b/>
          <w:bCs/>
        </w:rPr>
        <w:t xml:space="preserve">Preuves bilatérales : </w:t>
      </w:r>
      <w:r>
        <w:t xml:space="preserve">photos d'état initial au retrait, photos et vidéo continue au retour, sous une logique d'états de session traçables</w:t>
      </w:r>
    </w:p>
    <w:p>
      <w:pPr>
        <w:pStyle w:val="ListParagraph"/>
        <w:numPr>
          <w:ilvl w:val="0"/>
          <w:numId w:val="2"/>
        </w:numPr>
        <w:spacing w:after="30" w:before="30"/>
      </w:pPr>
      <w:r>
        <w:rPr>
          <w:b/>
          <w:bCs/>
        </w:rPr>
        <w:t xml:space="preserve">Aide à la décision multi-signal : </w:t>
      </w:r>
      <w:r>
        <w:t xml:space="preserve">moteur d'analyse agrégeant capteurs casiers, analyse d'image, signalement utilisateur et historique comportemental, produisant un statut Vert / Orange / Rouge</w:t>
      </w:r>
    </w:p>
    <w:p>
      <w:pPr>
        <w:pStyle w:val="ListParagraph"/>
        <w:numPr>
          <w:ilvl w:val="0"/>
          <w:numId w:val="2"/>
        </w:numPr>
        <w:spacing w:after="30" w:before="30"/>
      </w:pPr>
      <w:r>
        <w:rPr>
          <w:b/>
          <w:bCs/>
        </w:rPr>
        <w:t xml:space="preserve">Validation humaine systématique : </w:t>
      </w:r>
      <w:r>
        <w:t xml:space="preserve">aucune décision financière n'est entièrement automatisée. La libération ou capture de caution est tranchée par un opérateur sous 12 à 24 heures</w:t>
      </w:r>
    </w:p>
    <w:p>
      <w:pPr>
        <w:pStyle w:val="ListParagraph"/>
        <w:numPr>
          <w:ilvl w:val="0"/>
          <w:numId w:val="2"/>
        </w:numPr>
        <w:spacing w:after="30" w:before="30"/>
      </w:pPr>
      <w:r>
        <w:rPr>
          <w:b/>
          <w:bCs/>
        </w:rPr>
        <w:t xml:space="preserve">Notifications multi-canales : </w:t>
      </w:r>
      <w:r>
        <w:t xml:space="preserve">email obligatoire, SMS sur les événements critiques, notifications push si l'application est installée comme PWA</w:t>
      </w:r>
    </w:p>
    <w:p>
      <w:pPr>
        <w:pStyle w:val="Heading2"/>
        <w:spacing w:after="120" w:before="240"/>
      </w:pPr>
      <w:r>
        <w:rPr>
          <w:b/>
          <w:bCs/>
          <w:color w:val="1B3A57"/>
          <w:sz w:val="28"/>
          <w:szCs w:val="28"/>
        </w:rPr>
        <w:t xml:space="preserve">3.3 Cas d'usage emblématiques</w:t>
      </w:r>
    </w:p>
    <w:p>
      <w:pPr>
        <w:pStyle w:val="ListParagraph"/>
        <w:numPr>
          <w:ilvl w:val="0"/>
          <w:numId w:val="2"/>
        </w:numPr>
        <w:spacing w:after="30" w:before="30"/>
      </w:pPr>
      <w:r>
        <w:rPr>
          <w:b/>
          <w:bCs/>
        </w:rPr>
        <w:t xml:space="preserve">Location d'un outil unique : </w:t>
      </w:r>
      <w:r>
        <w:t xml:space="preserve">perceuse, perforateur, scie circulaire pour quelques heures à quelques jours</w:t>
      </w:r>
    </w:p>
    <w:p>
      <w:pPr>
        <w:pStyle w:val="ListParagraph"/>
        <w:numPr>
          <w:ilvl w:val="0"/>
          <w:numId w:val="2"/>
        </w:numPr>
        <w:spacing w:after="30" w:before="30"/>
      </w:pPr>
      <w:r>
        <w:rPr>
          <w:b/>
          <w:bCs/>
        </w:rPr>
        <w:t xml:space="preserve">Location d'un pack multi-outils : </w:t>
      </w:r>
      <w:r>
        <w:t xml:space="preserve">kit BTP composé de plusieurs outils complémentaires (ex. perforateur + foret + aspirateur), réservé en une seule opération</w:t>
      </w:r>
    </w:p>
    <w:p>
      <w:pPr>
        <w:pStyle w:val="ListParagraph"/>
        <w:numPr>
          <w:ilvl w:val="0"/>
          <w:numId w:val="2"/>
        </w:numPr>
        <w:spacing w:after="30" w:before="30"/>
      </w:pPr>
      <w:r>
        <w:rPr>
          <w:b/>
          <w:bCs/>
        </w:rPr>
        <w:t xml:space="preserve">Abonnement professionnel : </w:t>
      </w:r>
      <w:r>
        <w:t xml:space="preserve">artisan régulier qui paie un abonnement mensuel et bénéficie d'un tarif préférentiel sur ses locations</w:t>
      </w:r>
    </w:p>
    <w:p>
      <w:pPr>
        <w:pStyle w:val="ListParagraph"/>
        <w:numPr>
          <w:ilvl w:val="0"/>
          <w:numId w:val="2"/>
        </w:numPr>
        <w:spacing w:after="30" w:before="30"/>
      </w:pPr>
      <w:r>
        <w:rPr>
          <w:b/>
          <w:bCs/>
        </w:rPr>
        <w:t xml:space="preserve">Achat de consommables : </w:t>
      </w:r>
      <w:r>
        <w:t xml:space="preserve">achat direct sans caution dans des casiers dédiés</w:t>
      </w:r>
    </w:p>
    <w:p>
      <w:pPr>
        <w:pStyle w:val="Heading2"/>
        <w:spacing w:after="120" w:before="240"/>
      </w:pPr>
      <w:r>
        <w:rPr>
          <w:b/>
          <w:bCs/>
          <w:color w:val="1B3A57"/>
          <w:sz w:val="28"/>
          <w:szCs w:val="28"/>
        </w:rPr>
        <w:t xml:space="preserve">3.4 Dispositif physique du site pilote</w:t>
      </w:r>
    </w:p>
    <w:p>
      <w:pPr>
        <w:spacing w:after="80" w:before="80"/>
      </w:pPr>
      <w:r>
        <w:rPr>
          <w:b w:val="false"/>
          <w:bCs w:val="false"/>
          <w:i w:val="false"/>
          <w:iCs w:val="false"/>
          <w:color w:val="000000"/>
          <w:sz w:val="22"/>
          <w:szCs w:val="22"/>
        </w:rPr>
        <w:t xml:space="preserve">Le site pilote est constitué d'un sas sécurisé regroupant plusieurs casiers connectés. Le dispositif comprend :</w:t>
      </w:r>
    </w:p>
    <w:p>
      <w:pPr>
        <w:pStyle w:val="ListParagraph"/>
        <w:numPr>
          <w:ilvl w:val="0"/>
          <w:numId w:val="2"/>
        </w:numPr>
        <w:spacing w:after="30" w:before="30"/>
      </w:pPr>
      <w:r>
        <w:t xml:space="preserve">La porte d'accès au sas, ouverte automatiquement après authentification utilisateur</w:t>
      </w:r>
    </w:p>
    <w:p>
      <w:pPr>
        <w:pStyle w:val="ListParagraph"/>
        <w:numPr>
          <w:ilvl w:val="0"/>
          <w:numId w:val="2"/>
        </w:numPr>
        <w:spacing w:after="30" w:before="30"/>
      </w:pPr>
      <w:r>
        <w:t xml:space="preserve">Des casiers individuels équipés de capteurs de fermeture remontés via l'API du fournisseur</w:t>
      </w:r>
    </w:p>
    <w:p>
      <w:pPr>
        <w:pStyle w:val="ListParagraph"/>
        <w:numPr>
          <w:ilvl w:val="0"/>
          <w:numId w:val="2"/>
        </w:numPr>
        <w:spacing w:after="30" w:before="30"/>
      </w:pPr>
      <w:r>
        <w:t xml:space="preserve">Une borne d'accueil équipée d'un écran et d'un clavier PIN physique pour l'authentification</w:t>
      </w:r>
    </w:p>
    <w:p>
      <w:pPr>
        <w:pStyle w:val="ListParagraph"/>
        <w:numPr>
          <w:ilvl w:val="0"/>
          <w:numId w:val="2"/>
        </w:numPr>
        <w:spacing w:after="30" w:before="30"/>
      </w:pPr>
      <w:r>
        <w:t xml:space="preserve">Une caméra interne du sas (à arbitrer en Phase 1 selon le périmètre matériel retenu)</w:t>
      </w:r>
    </w:p>
    <w:p>
      <w:pPr>
        <w:spacing w:after="80" w:before="80"/>
      </w:pPr>
      <w:r>
        <w:rPr>
          <w:b w:val="false"/>
          <w:bCs w:val="false"/>
          <w:i w:val="false"/>
          <w:iCs w:val="false"/>
          <w:color w:val="000000"/>
          <w:sz w:val="22"/>
          <w:szCs w:val="22"/>
        </w:rPr>
        <w:t xml:space="preserve">Le matériel est fourni par le partenaire Kasier.fr. Les modalités d'intégration et de coordination sont décrites en partie 6 et dans l'annexe technique Design Kasier V2.</w:t>
      </w:r>
    </w:p>
    <w:p>
      <w:pPr>
        <w:pStyle w:val="Heading1"/>
        <w:pageBreakBefore/>
      </w:pPr>
      <w:r>
        <w:rPr>
          <w:b/>
          <w:bCs/>
          <w:color w:val="1B3A57"/>
          <w:sz w:val="36"/>
          <w:szCs w:val="36"/>
        </w:rPr>
        <w:t xml:space="preserve">4. Périmètre du projet</w:t>
      </w:r>
    </w:p>
    <w:p>
      <w:pPr>
        <w:pStyle w:val="Heading2"/>
        <w:spacing w:after="120" w:before="240"/>
      </w:pPr>
      <w:r>
        <w:rPr>
          <w:b/>
          <w:bCs/>
          <w:color w:val="1B3A57"/>
          <w:sz w:val="28"/>
          <w:szCs w:val="28"/>
        </w:rPr>
        <w:t xml:space="preserve">4.1 Périmètre inclus dans le présent cahier des charges</w:t>
      </w:r>
    </w:p>
    <w:p>
      <w:pPr>
        <w:spacing w:after="80" w:before="80"/>
      </w:pPr>
      <w:r>
        <w:rPr>
          <w:b w:val="false"/>
          <w:bCs w:val="false"/>
          <w:i w:val="false"/>
          <w:iCs w:val="false"/>
          <w:color w:val="000000"/>
          <w:sz w:val="22"/>
          <w:szCs w:val="22"/>
        </w:rPr>
        <w:t xml:space="preserve">Le périmètre couvert par le présent cahier des charges et le devis D-2026-003 comprend la conception, le développement et la mise en production de la plateforme Toolbox24 dans sa version MVP, intégrant les fonctionnalités suivantes :</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rPr>
          <w:tblHeader/>
        </w:trPr>
        <w:tc>
          <w:tcPr>
            <w:tcW w:type="dxa" w:w="3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Module</w:t>
            </w:r>
          </w:p>
        </w:tc>
        <w:tc>
          <w:tcPr>
            <w:tcW w:type="dxa" w:w="55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Couverture incluse</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Cadrage et architecture</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Spécifications fonctionnelles, architecture technique, backlog priorisé</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Frontend utilisateur (PWA)</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Application web responsive : compte, catalogue, réservation, paiement, prise de photos et vidéo en direct, déclenchement du retour, historique, consultation du statut de caution, abonnement</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Backend &amp; API</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API métier, machine à états des sessions et des items, logique de transitions, journalisation des événements, structure de données multi-sites</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Intégration Stripe (paiement)</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Paiement, pré-autorisation caution, capture totale ou partielle, libération différée 12 à 24 heures, webhooks, cohérence avec les statuts de restitution</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Intégration Stripe (abonnement)</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Stripe Subscriptions, Customer Portal hosté, plan unique professionnel, gestion du cycle de vie (souscription, renouvellement, suspension, résiliation)</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Packs multi-outils</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Réservation, retrait et restitution séquentiels d'un ensemble d'outils en une seule session ; lock atomique multi-casier ; scoring et validation par item</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Dashboard administrateur</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Back-office complet : gestion outils, packs, casiers, sites, réservations, utilisateurs, paiements, file quotidienne de validation humaine, traitement des statuts Vert / Orange / Rouge, gestion incidents et alertes, abonnés</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Couche driver Kasier.fr</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Couche d'abstraction matérielle + driver pour Kasier.fr (casiers, clavier PIN, écran borne, capteurs de fermeture). Conception modulaire pour second fournisseur ultérieur</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Double accès (QR + PIN)</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Authentification borne par QR dynamique (PWA) ou code PIN saisi sur la borne. Mode dégradé documenté</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Système de preuves et scoring</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Capture photo en direct au retrait et au retour, vidéo continue au retour, stockage horodaté, scoring multi-signal par item, attribution Vert / Orange / Rouge</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Aide à la décision IA</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Moteur de scoring agrégeant capteurs Kasier, analyse d'image (API Vision), signalement utilisateur, historique comportemental. Vidéo conservée comme preuve humaine, non analysée par l'IA. Décision finale humaine</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Vente de consommables et stocks</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Casiers dédiés, achat direct sans caution, décrémentation automatique du stock, gestion administrateur du réapprovisionnement</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Facturation conforme française</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Émission de factures avec numérotation séquentielle, mentions légales obligatoires, archivage 10 ans, intégration avec un outil tiers conforme (Pennylane recommandé)</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Reporting &amp; exports administratifs</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Tableau de bord KPI, exports comptables mensuels, statistiques d'usage, suivi des abonnements</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Préférences notifications utilisateur</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Choix individuel des canaux (email obligatoire, SMS opt-in/out, push si PWA installée)</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Workflow de remboursement et avoirs</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Procédure encadrée dans le back-office : motif, montant partiel ou total, validation, exécution Stripe, génération d'avoirs conformes, notification utilisateur</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Gestion des utilisateurs défaillants</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Outils administrateur pour mettre en surveillance, suspendre, ou bloquer un compte sur la base de critères paramétrables</w:t>
            </w:r>
          </w:p>
        </w:tc>
      </w:tr>
      <w:tr>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Procédure d'impayé</w:t>
            </w:r>
          </w:p>
        </w:tc>
        <w:tc>
          <w:tcPr>
            <w:tcW w:type="dxa" w:w="5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Détection automatique, relances multi-canales, mise en demeure, suspension du compte</w:t>
            </w:r>
          </w:p>
        </w:tc>
      </w:tr>
      <w:tr>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Tests et mise en production</w:t>
            </w:r>
          </w:p>
        </w:tc>
        <w:tc>
          <w:tcPr>
            <w:tcW w:type="dxa" w:w="5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Tests fonctionnels, tests d'intégration, tests de bout en bout sur les parcours critiques, déploiement du site pilote</w:t>
            </w:r>
          </w:p>
        </w:tc>
      </w:tr>
    </w:tbl>
    <w:p>
      <w:pPr>
        <w:pStyle w:val="Heading2"/>
        <w:spacing w:after="120" w:before="240"/>
      </w:pPr>
      <w:r>
        <w:rPr>
          <w:b/>
          <w:bCs/>
          <w:color w:val="1B3A57"/>
          <w:sz w:val="28"/>
          <w:szCs w:val="28"/>
        </w:rPr>
        <w:t xml:space="preserve">4.2 Périmètre exclu — réservé pour évolutions ultérieures</w:t>
      </w:r>
    </w:p>
    <w:p>
      <w:pPr>
        <w:spacing w:after="80" w:before="80"/>
      </w:pPr>
      <w:r>
        <w:rPr>
          <w:b w:val="false"/>
          <w:bCs w:val="false"/>
          <w:i w:val="false"/>
          <w:iCs w:val="false"/>
          <w:color w:val="000000"/>
          <w:sz w:val="22"/>
          <w:szCs w:val="22"/>
        </w:rPr>
        <w:t xml:space="preserve">Les éléments suivants sont explicitement hors du périmètre du présent cahier des charges. Toute intégration ultérieure fera l'objet d'un avenant chiffré séparément.</w:t>
      </w:r>
    </w:p>
    <w:p>
      <w:pPr>
        <w:pStyle w:val="Heading3"/>
        <w:spacing w:after="80" w:before="200"/>
      </w:pPr>
      <w:r>
        <w:rPr>
          <w:b/>
          <w:bCs/>
          <w:color w:val="E07B2C"/>
          <w:sz w:val="24"/>
          <w:szCs w:val="24"/>
        </w:rPr>
        <w:t xml:space="preserve">Fonctionnalités produit</w:t>
      </w:r>
    </w:p>
    <w:p>
      <w:pPr>
        <w:pStyle w:val="ListParagraph"/>
        <w:numPr>
          <w:ilvl w:val="0"/>
          <w:numId w:val="2"/>
        </w:numPr>
        <w:spacing w:after="30" w:before="30"/>
      </w:pPr>
      <w:r>
        <w:t xml:space="preserve">Application mobile native iOS / Android (publication sur les stores)</w:t>
      </w:r>
    </w:p>
    <w:p>
      <w:pPr>
        <w:pStyle w:val="ListParagraph"/>
        <w:numPr>
          <w:ilvl w:val="0"/>
          <w:numId w:val="2"/>
        </w:numPr>
        <w:spacing w:after="30" w:before="30"/>
      </w:pPr>
      <w:r>
        <w:t xml:space="preserve">Comptes B2B multi-utilisateurs (un compte société regroupant plusieurs collaborateurs avec rôles et workflow d'approbation interne)</w:t>
      </w:r>
    </w:p>
    <w:p>
      <w:pPr>
        <w:pStyle w:val="ListParagraph"/>
        <w:numPr>
          <w:ilvl w:val="0"/>
          <w:numId w:val="2"/>
        </w:numPr>
        <w:spacing w:after="30" w:before="30"/>
      </w:pPr>
      <w:r>
        <w:t xml:space="preserve">Caution off-session permanente (mandat unique couvrant plusieurs sessions)</w:t>
      </w:r>
    </w:p>
    <w:p>
      <w:pPr>
        <w:pStyle w:val="ListParagraph"/>
        <w:numPr>
          <w:ilvl w:val="0"/>
          <w:numId w:val="2"/>
        </w:numPr>
        <w:spacing w:after="30" w:before="30"/>
      </w:pPr>
      <w:r>
        <w:t xml:space="preserve">File prioritaire de réservation pour abonnés</w:t>
      </w:r>
    </w:p>
    <w:p>
      <w:pPr>
        <w:pStyle w:val="ListParagraph"/>
        <w:numPr>
          <w:ilvl w:val="0"/>
          <w:numId w:val="2"/>
        </w:numPr>
        <w:spacing w:after="30" w:before="30"/>
      </w:pPr>
      <w:r>
        <w:t xml:space="preserve">Constructor de pack libre par l'utilisateur (les packs MVP sont prédéfinis par l'administrateur)</w:t>
      </w:r>
    </w:p>
    <w:p>
      <w:pPr>
        <w:pStyle w:val="ListParagraph"/>
        <w:numPr>
          <w:ilvl w:val="0"/>
          <w:numId w:val="2"/>
        </w:numPr>
        <w:spacing w:after="30" w:before="30"/>
      </w:pPr>
      <w:r>
        <w:t xml:space="preserve">Modèle de vision IA entraîné sur mesure (le MVP utilise une API généraliste)</w:t>
      </w:r>
    </w:p>
    <w:p>
      <w:pPr>
        <w:pStyle w:val="ListParagraph"/>
        <w:numPr>
          <w:ilvl w:val="0"/>
          <w:numId w:val="2"/>
        </w:numPr>
        <w:spacing w:after="30" w:before="30"/>
      </w:pPr>
      <w:r>
        <w:t xml:space="preserve">Détection de fraude par machine learning personnalisé</w:t>
      </w:r>
    </w:p>
    <w:p>
      <w:pPr>
        <w:pStyle w:val="ListParagraph"/>
        <w:numPr>
          <w:ilvl w:val="0"/>
          <w:numId w:val="2"/>
        </w:numPr>
        <w:spacing w:after="30" w:before="30"/>
      </w:pPr>
      <w:r>
        <w:t xml:space="preserve">Tarification dynamique avancée (yield management)</w:t>
      </w:r>
    </w:p>
    <w:p>
      <w:pPr>
        <w:pStyle w:val="ListParagraph"/>
        <w:numPr>
          <w:ilvl w:val="0"/>
          <w:numId w:val="2"/>
        </w:numPr>
        <w:spacing w:after="30" w:before="30"/>
      </w:pPr>
      <w:r>
        <w:t xml:space="preserve">Système de fidélité multi-niveaux ou cartes prépayées</w:t>
      </w:r>
    </w:p>
    <w:p>
      <w:pPr>
        <w:pStyle w:val="ListParagraph"/>
        <w:numPr>
          <w:ilvl w:val="0"/>
          <w:numId w:val="2"/>
        </w:numPr>
        <w:spacing w:after="30" w:before="30"/>
      </w:pPr>
      <w:r>
        <w:t xml:space="preserve">Gestion multi-sites avancée côté UX (sélection de site, vues consolidées, droits par site)</w:t>
      </w:r>
    </w:p>
    <w:p>
      <w:pPr>
        <w:pStyle w:val="Heading3"/>
        <w:spacing w:after="80" w:before="200"/>
      </w:pPr>
      <w:r>
        <w:rPr>
          <w:b/>
          <w:bCs/>
          <w:color w:val="E07B2C"/>
          <w:sz w:val="24"/>
          <w:szCs w:val="24"/>
        </w:rPr>
        <w:t xml:space="preserve">Aspects techniques</w:t>
      </w:r>
    </w:p>
    <w:p>
      <w:pPr>
        <w:pStyle w:val="ListParagraph"/>
        <w:numPr>
          <w:ilvl w:val="0"/>
          <w:numId w:val="2"/>
        </w:numPr>
        <w:spacing w:after="30" w:before="30"/>
      </w:pPr>
      <w:r>
        <w:t xml:space="preserve">Matériel RFID ou balance intégrée aux casiers (le développement logiciel exploitant ces signaux est inclus dans le moteur de scoring si activé ; le matériel et son installation sont à chiffrer séparément avec Kasier ou un tiers)</w:t>
      </w:r>
    </w:p>
    <w:p>
      <w:pPr>
        <w:pStyle w:val="ListParagraph"/>
        <w:numPr>
          <w:ilvl w:val="0"/>
          <w:numId w:val="2"/>
        </w:numPr>
        <w:spacing w:after="30" w:before="30"/>
      </w:pPr>
      <w:r>
        <w:t xml:space="preserve">Drivers casiers supplémentaires (au-delà du fournisseur Kasier.fr)</w:t>
      </w:r>
    </w:p>
    <w:p>
      <w:pPr>
        <w:pStyle w:val="ListParagraph"/>
        <w:numPr>
          <w:ilvl w:val="0"/>
          <w:numId w:val="2"/>
        </w:numPr>
        <w:spacing w:after="30" w:before="30"/>
      </w:pPr>
      <w:r>
        <w:t xml:space="preserve">Haute disponibilité avancée (load balancing actif, scaling multi-zones)</w:t>
      </w:r>
    </w:p>
    <w:p>
      <w:pPr>
        <w:pStyle w:val="ListParagraph"/>
        <w:numPr>
          <w:ilvl w:val="0"/>
          <w:numId w:val="2"/>
        </w:numPr>
        <w:spacing w:after="30" w:before="30"/>
      </w:pPr>
      <w:r>
        <w:t xml:space="preserve">Intégrations tierces non listées (ERP, CRM externes, systèmes comptables autres que Pennylane)</w:t>
      </w:r>
    </w:p>
    <w:p>
      <w:pPr>
        <w:pStyle w:val="ListParagraph"/>
        <w:numPr>
          <w:ilvl w:val="0"/>
          <w:numId w:val="2"/>
        </w:numPr>
        <w:spacing w:after="30" w:before="30"/>
      </w:pPr>
      <w:r>
        <w:t xml:space="preserve">Refactorisation pour multi-régions</w:t>
      </w:r>
    </w:p>
    <w:p>
      <w:pPr>
        <w:pStyle w:val="Heading3"/>
        <w:spacing w:after="80" w:before="200"/>
      </w:pPr>
      <w:r>
        <w:rPr>
          <w:b/>
          <w:bCs/>
          <w:color w:val="E07B2C"/>
          <w:sz w:val="24"/>
          <w:szCs w:val="24"/>
        </w:rPr>
        <w:t xml:space="preserve">Aspects opérationnels</w:t>
      </w:r>
    </w:p>
    <w:p>
      <w:pPr>
        <w:pStyle w:val="ListParagraph"/>
        <w:numPr>
          <w:ilvl w:val="0"/>
          <w:numId w:val="2"/>
        </w:numPr>
        <w:spacing w:after="30" w:before="30"/>
      </w:pPr>
      <w:r>
        <w:t xml:space="preserve">Outils de support client intégrés (chat live, ticketing utilisateur)</w:t>
      </w:r>
    </w:p>
    <w:p>
      <w:pPr>
        <w:pStyle w:val="ListParagraph"/>
        <w:numPr>
          <w:ilvl w:val="0"/>
          <w:numId w:val="2"/>
        </w:numPr>
        <w:spacing w:after="30" w:before="30"/>
      </w:pPr>
      <w:r>
        <w:t xml:space="preserve">Automatisation complète des incidents au-delà du flux de base</w:t>
      </w:r>
    </w:p>
    <w:p>
      <w:pPr>
        <w:pStyle w:val="ListParagraph"/>
        <w:numPr>
          <w:ilvl w:val="0"/>
          <w:numId w:val="2"/>
        </w:numPr>
        <w:spacing w:after="30" w:before="30"/>
      </w:pPr>
      <w:r>
        <w:t xml:space="preserve">Migration de données depuis un système existant</w:t>
      </w:r>
    </w:p>
    <w:p>
      <w:pPr>
        <w:pStyle w:val="ListParagraph"/>
        <w:numPr>
          <w:ilvl w:val="0"/>
          <w:numId w:val="2"/>
        </w:numPr>
        <w:spacing w:after="30" w:before="30"/>
      </w:pPr>
      <w:r>
        <w:t xml:space="preserve">Production de contenus visuels et vidéos marketing (à fournir par le client)</w:t>
      </w:r>
    </w:p>
    <w:p>
      <w:pPr>
        <w:pStyle w:val="ListParagraph"/>
        <w:numPr>
          <w:ilvl w:val="0"/>
          <w:numId w:val="2"/>
        </w:numPr>
        <w:spacing w:after="30" w:before="30"/>
      </w:pPr>
      <w:r>
        <w:t xml:space="preserve">Référencement, communication et acquisition utilisateur (responsabilité du client)</w:t>
      </w:r>
    </w:p>
    <w:p>
      <w:pPr>
        <w:pStyle w:val="Heading1"/>
        <w:pageBreakBefore/>
      </w:pPr>
      <w:r>
        <w:rPr>
          <w:b/>
          <w:bCs/>
          <w:color w:val="1B3A57"/>
          <w:sz w:val="36"/>
          <w:szCs w:val="36"/>
        </w:rPr>
        <w:t xml:space="preserve">5. Description fonctionnelle</w:t>
      </w:r>
    </w:p>
    <w:p>
      <w:pPr>
        <w:spacing w:after="80" w:before="80"/>
      </w:pPr>
      <w:r>
        <w:rPr>
          <w:b w:val="false"/>
          <w:bCs w:val="false"/>
          <w:i w:val="false"/>
          <w:iCs w:val="false"/>
          <w:color w:val="000000"/>
          <w:sz w:val="22"/>
          <w:szCs w:val="22"/>
        </w:rPr>
        <w:t xml:space="preserve">Cette section décrit les principales fonctionnalités attendues. Le détail exhaustif des flux est fourni dans l'annexe « Référentiel des flux fonctionnels V2 » qui recense plus de 350 flux détaillés (utilisateur, administrateur, système, dégradés, exploitation).</w:t>
      </w:r>
    </w:p>
    <w:p>
      <w:pPr>
        <w:pStyle w:val="Heading2"/>
        <w:spacing w:after="120" w:before="240"/>
      </w:pPr>
      <w:r>
        <w:rPr>
          <w:b/>
          <w:bCs/>
          <w:color w:val="1B3A57"/>
          <w:sz w:val="28"/>
          <w:szCs w:val="28"/>
        </w:rPr>
        <w:t xml:space="preserve">5.1 Parcours utilisateur — réservation</w:t>
      </w:r>
    </w:p>
    <w:p>
      <w:pPr>
        <w:spacing w:after="80" w:before="80"/>
      </w:pPr>
      <w:r>
        <w:rPr>
          <w:b w:val="false"/>
          <w:bCs w:val="false"/>
          <w:i w:val="false"/>
          <w:iCs w:val="false"/>
          <w:color w:val="000000"/>
          <w:sz w:val="22"/>
          <w:szCs w:val="22"/>
        </w:rPr>
        <w:t xml:space="preserve">L'utilisateur (B2C ou B2B) accède à la plateforme via une PWA ou directement à la borne du site.</w:t>
      </w:r>
    </w:p>
    <w:p>
      <w:pPr>
        <w:pStyle w:val="ListParagraph"/>
        <w:numPr>
          <w:ilvl w:val="0"/>
          <w:numId w:val="2"/>
        </w:numPr>
        <w:spacing w:after="30" w:before="30"/>
      </w:pPr>
      <w:r>
        <w:t xml:space="preserve">Création de compte avec informations standards (B2C) ou enrichies (B2B avec SIRET et TVA intracom, validation automatique via API)</w:t>
      </w:r>
    </w:p>
    <w:p>
      <w:pPr>
        <w:pStyle w:val="ListParagraph"/>
        <w:numPr>
          <w:ilvl w:val="0"/>
          <w:numId w:val="2"/>
        </w:numPr>
        <w:spacing w:after="30" w:before="30"/>
      </w:pPr>
      <w:r>
        <w:t xml:space="preserve">Acceptation horodatée des CGU et de la politique de confidentialité</w:t>
      </w:r>
    </w:p>
    <w:p>
      <w:pPr>
        <w:pStyle w:val="ListParagraph"/>
        <w:numPr>
          <w:ilvl w:val="0"/>
          <w:numId w:val="2"/>
        </w:numPr>
        <w:spacing w:after="30" w:before="30"/>
      </w:pPr>
      <w:r>
        <w:t xml:space="preserve">Consultation du catalogue distinguant les outils individuels et les packs prédéfinis</w:t>
      </w:r>
    </w:p>
    <w:p>
      <w:pPr>
        <w:pStyle w:val="ListParagraph"/>
        <w:numPr>
          <w:ilvl w:val="0"/>
          <w:numId w:val="2"/>
        </w:numPr>
        <w:spacing w:after="30" w:before="30"/>
      </w:pPr>
      <w:r>
        <w:t xml:space="preserve">Sélection d'un créneau, calcul automatique du prix avec application des éventuels discounts (B2B, abonnement, pack)</w:t>
      </w:r>
    </w:p>
    <w:p>
      <w:pPr>
        <w:pStyle w:val="ListParagraph"/>
        <w:numPr>
          <w:ilvl w:val="0"/>
          <w:numId w:val="2"/>
        </w:numPr>
        <w:spacing w:after="30" w:before="30"/>
      </w:pPr>
      <w:r>
        <w:t xml:space="preserve">Validation et pré-autorisation du paiement par Stripe (montant prix + caution)</w:t>
      </w:r>
    </w:p>
    <w:p>
      <w:pPr>
        <w:pStyle w:val="ListParagraph"/>
        <w:numPr>
          <w:ilvl w:val="0"/>
          <w:numId w:val="2"/>
        </w:numPr>
        <w:spacing w:after="30" w:before="30"/>
      </w:pPr>
      <w:r>
        <w:t xml:space="preserve">Réception immédiate de la confirmation par email, SMS et push</w:t>
      </w:r>
    </w:p>
    <w:p>
      <w:pPr>
        <w:pStyle w:val="ListParagraph"/>
        <w:numPr>
          <w:ilvl w:val="0"/>
          <w:numId w:val="2"/>
        </w:numPr>
        <w:spacing w:after="30" w:before="30"/>
      </w:pPr>
      <w:r>
        <w:t xml:space="preserve">Code PIN transmis par SMS 30 minutes avant le créneau pour sécurité</w:t>
      </w:r>
    </w:p>
    <w:p>
      <w:pPr>
        <w:pStyle w:val="Heading2"/>
        <w:spacing w:after="120" w:before="240"/>
      </w:pPr>
      <w:r>
        <w:rPr>
          <w:b/>
          <w:bCs/>
          <w:color w:val="1B3A57"/>
          <w:sz w:val="28"/>
          <w:szCs w:val="28"/>
        </w:rPr>
        <w:t xml:space="preserve">5.2 Parcours utilisateur — retrait</w:t>
      </w:r>
    </w:p>
    <w:p>
      <w:pPr>
        <w:spacing w:after="80" w:before="80"/>
      </w:pPr>
      <w:r>
        <w:rPr>
          <w:b w:val="false"/>
          <w:bCs w:val="false"/>
          <w:i w:val="false"/>
          <w:iCs w:val="false"/>
          <w:color w:val="000000"/>
          <w:sz w:val="22"/>
          <w:szCs w:val="22"/>
        </w:rPr>
        <w:t xml:space="preserve">Le jour du créneau réservé, l'utilisateur se présente à la borne :</w:t>
      </w:r>
    </w:p>
    <w:p>
      <w:pPr>
        <w:pStyle w:val="ListParagraph"/>
        <w:numPr>
          <w:ilvl w:val="0"/>
          <w:numId w:val="2"/>
        </w:numPr>
        <w:spacing w:after="30" w:before="30"/>
      </w:pPr>
      <w:r>
        <w:t xml:space="preserve">Authentification par scan d'un QR code dynamique généré par l'application, ou par saisie du code PIN reçu (mode dégradé)</w:t>
      </w:r>
    </w:p>
    <w:p>
      <w:pPr>
        <w:pStyle w:val="ListParagraph"/>
        <w:numPr>
          <w:ilvl w:val="0"/>
          <w:numId w:val="2"/>
        </w:numPr>
        <w:spacing w:after="30" w:before="30"/>
      </w:pPr>
      <w:r>
        <w:t xml:space="preserve">Ouverture automatique de la porte du sas et entrée de l'utilisateur</w:t>
      </w:r>
    </w:p>
    <w:p>
      <w:pPr>
        <w:pStyle w:val="ListParagraph"/>
        <w:numPr>
          <w:ilvl w:val="0"/>
          <w:numId w:val="2"/>
        </w:numPr>
        <w:spacing w:after="30" w:before="30"/>
      </w:pPr>
      <w:r>
        <w:t xml:space="preserve">Pour chaque outil (1 outil ou N outils dans le cas d'un pack) : ouverture séquentielle du casier, capture obligatoire de photos d'état initial en mode caméra directe (pas d'upload galerie), retrait du matériel, fermeture du casier</w:t>
      </w:r>
    </w:p>
    <w:p>
      <w:pPr>
        <w:pStyle w:val="ListParagraph"/>
        <w:numPr>
          <w:ilvl w:val="0"/>
          <w:numId w:val="2"/>
        </w:numPr>
        <w:spacing w:after="30" w:before="30"/>
      </w:pPr>
      <w:r>
        <w:t xml:space="preserve">Démarrage du compteur de location une fois tous les outils retirés</w:t>
      </w:r>
    </w:p>
    <w:p>
      <w:pPr>
        <w:pStyle w:val="ListParagraph"/>
        <w:numPr>
          <w:ilvl w:val="0"/>
          <w:numId w:val="2"/>
        </w:numPr>
        <w:spacing w:after="30" w:before="30"/>
      </w:pPr>
      <w:r>
        <w:t xml:space="preserve">Sortie du sas et confirmation par notification multi-canale</w:t>
      </w:r>
    </w:p>
    <w:p>
      <w:pPr>
        <w:pStyle w:val="Heading2"/>
        <w:spacing w:after="120" w:before="240"/>
      </w:pPr>
      <w:r>
        <w:rPr>
          <w:b/>
          <w:bCs/>
          <w:color w:val="1B3A57"/>
          <w:sz w:val="28"/>
          <w:szCs w:val="28"/>
        </w:rPr>
        <w:t xml:space="preserve">5.3 Parcours utilisateur — restitution</w:t>
      </w:r>
    </w:p>
    <w:p>
      <w:pPr>
        <w:spacing w:after="80" w:before="80"/>
      </w:pPr>
      <w:r>
        <w:rPr>
          <w:b w:val="false"/>
          <w:bCs w:val="false"/>
          <w:i w:val="false"/>
          <w:iCs w:val="false"/>
          <w:color w:val="000000"/>
          <w:sz w:val="22"/>
          <w:szCs w:val="22"/>
        </w:rPr>
        <w:t xml:space="preserve">L'utilisateur déclenche explicitement la restitution depuis l'application via un bouton « Je retourne le matériel » :</w:t>
      </w:r>
    </w:p>
    <w:p>
      <w:pPr>
        <w:pStyle w:val="ListParagraph"/>
        <w:numPr>
          <w:ilvl w:val="0"/>
          <w:numId w:val="2"/>
        </w:numPr>
        <w:spacing w:after="30" w:before="30"/>
      </w:pPr>
      <w:r>
        <w:t xml:space="preserve">Cette action verrouille la session en mode retour et génère un nouveau QR code</w:t>
      </w:r>
    </w:p>
    <w:p>
      <w:pPr>
        <w:pStyle w:val="ListParagraph"/>
        <w:numPr>
          <w:ilvl w:val="0"/>
          <w:numId w:val="2"/>
        </w:numPr>
        <w:spacing w:after="30" w:before="30"/>
      </w:pPr>
      <w:r>
        <w:t xml:space="preserve">Présentation à la borne, ouverture du sas, ouverture séquentielle des casiers de restitution</w:t>
      </w:r>
    </w:p>
    <w:p>
      <w:pPr>
        <w:pStyle w:val="ListParagraph"/>
        <w:numPr>
          <w:ilvl w:val="0"/>
          <w:numId w:val="2"/>
        </w:numPr>
        <w:spacing w:after="30" w:before="30"/>
      </w:pPr>
      <w:r>
        <w:t xml:space="preserve">Pour chaque outil : dépôt physique, capture de photos d'état final, capture d'une vidéo continue (jusqu'à fermeture du casier), saisie facultative d'un signalement (rien à signaler / incident mineur / incident majeur)</w:t>
      </w:r>
    </w:p>
    <w:p>
      <w:pPr>
        <w:pStyle w:val="ListParagraph"/>
        <w:numPr>
          <w:ilvl w:val="0"/>
          <w:numId w:val="2"/>
        </w:numPr>
        <w:spacing w:after="30" w:before="30"/>
      </w:pPr>
      <w:r>
        <w:t xml:space="preserve">Validation utilisateur des preuves, upload des médias, fermeture des casiers</w:t>
      </w:r>
    </w:p>
    <w:p>
      <w:pPr>
        <w:pStyle w:val="ListParagraph"/>
        <w:numPr>
          <w:ilvl w:val="0"/>
          <w:numId w:val="2"/>
        </w:numPr>
        <w:spacing w:after="30" w:before="30"/>
      </w:pPr>
      <w:r>
        <w:t xml:space="preserve">Session passée au statut « en attente de validation » avec délai annoncé de 12 à 24 heures</w:t>
      </w:r>
    </w:p>
    <w:p>
      <w:pPr>
        <w:pStyle w:val="Heading2"/>
        <w:spacing w:after="120" w:before="240"/>
      </w:pPr>
      <w:r>
        <w:rPr>
          <w:b/>
          <w:bCs/>
          <w:color w:val="1B3A57"/>
          <w:sz w:val="28"/>
          <w:szCs w:val="28"/>
        </w:rPr>
        <w:t xml:space="preserve">5.4 Parcours administrateur — validation des restitutions</w:t>
      </w:r>
    </w:p>
    <w:p>
      <w:pPr>
        <w:spacing w:after="80" w:before="80"/>
      </w:pPr>
      <w:r>
        <w:rPr>
          <w:b w:val="false"/>
          <w:bCs w:val="false"/>
          <w:i w:val="false"/>
          <w:iCs w:val="false"/>
          <w:color w:val="000000"/>
          <w:sz w:val="22"/>
          <w:szCs w:val="22"/>
        </w:rPr>
        <w:t xml:space="preserve">Le back-office propose à l'opérateur (Cédric ou son équipe) une file de validation triée par criticité :</w:t>
      </w:r>
    </w:p>
    <w:p>
      <w:pPr>
        <w:pStyle w:val="ListParagraph"/>
        <w:numPr>
          <w:ilvl w:val="0"/>
          <w:numId w:val="2"/>
        </w:numPr>
        <w:spacing w:after="30" w:before="30"/>
      </w:pPr>
      <w:r>
        <w:t xml:space="preserve">Restitutions classées Rouge en première priorité (anomalie confirmée ou signal critique)</w:t>
      </w:r>
    </w:p>
    <w:p>
      <w:pPr>
        <w:pStyle w:val="ListParagraph"/>
        <w:numPr>
          <w:ilvl w:val="0"/>
          <w:numId w:val="2"/>
        </w:numPr>
        <w:spacing w:after="30" w:before="30"/>
      </w:pPr>
      <w:r>
        <w:t xml:space="preserve">Restitutions classées Orange (incertitude entre signaux ou mode dégradé)</w:t>
      </w:r>
    </w:p>
    <w:p>
      <w:pPr>
        <w:pStyle w:val="ListParagraph"/>
        <w:numPr>
          <w:ilvl w:val="0"/>
          <w:numId w:val="2"/>
        </w:numPr>
        <w:spacing w:after="30" w:before="30"/>
      </w:pPr>
      <w:r>
        <w:t xml:space="preserve">Restitutions classées Vert (échantillonnage aléatoire pour contrôle qualité)</w:t>
      </w:r>
    </w:p>
    <w:p>
      <w:pPr>
        <w:spacing w:after="80" w:before="80"/>
      </w:pPr>
      <w:r>
        <w:rPr>
          <w:b w:val="false"/>
          <w:bCs w:val="false"/>
          <w:i w:val="false"/>
          <w:iCs w:val="false"/>
          <w:color w:val="000000"/>
          <w:sz w:val="22"/>
          <w:szCs w:val="22"/>
        </w:rPr>
        <w:t xml:space="preserve">Pour chaque restitution, l'opérateur consulte la fiche utilisateur, l'historique comportemental, les photos avant et après, la vidéo de restitution, le signalement, le score IA et sa justification, les données capteurs. Il décide ensuite, item par item dans le cas d'un pack :</w:t>
      </w:r>
    </w:p>
    <w:p>
      <w:pPr>
        <w:pStyle w:val="ListParagraph"/>
        <w:numPr>
          <w:ilvl w:val="0"/>
          <w:numId w:val="2"/>
        </w:numPr>
        <w:spacing w:after="30" w:before="30"/>
      </w:pPr>
      <w:r>
        <w:t xml:space="preserve">Libération totale de la caution sur l'item</w:t>
      </w:r>
    </w:p>
    <w:p>
      <w:pPr>
        <w:pStyle w:val="ListParagraph"/>
        <w:numPr>
          <w:ilvl w:val="0"/>
          <w:numId w:val="2"/>
        </w:numPr>
        <w:spacing w:after="30" w:before="30"/>
      </w:pPr>
      <w:r>
        <w:t xml:space="preserve">Capture partielle (avec montant et motif documenté)</w:t>
      </w:r>
    </w:p>
    <w:p>
      <w:pPr>
        <w:pStyle w:val="ListParagraph"/>
        <w:numPr>
          <w:ilvl w:val="0"/>
          <w:numId w:val="2"/>
        </w:numPr>
        <w:spacing w:after="30" w:before="30"/>
      </w:pPr>
      <w:r>
        <w:t xml:space="preserve">Capture totale (avec motif détaillé)</w:t>
      </w:r>
    </w:p>
    <w:p>
      <w:pPr>
        <w:pStyle w:val="ListParagraph"/>
        <w:numPr>
          <w:ilvl w:val="0"/>
          <w:numId w:val="2"/>
        </w:numPr>
        <w:spacing w:after="30" w:before="30"/>
      </w:pPr>
      <w:r>
        <w:t xml:space="preserve">Demande de complément à l'utilisateur</w:t>
      </w:r>
    </w:p>
    <w:p>
      <w:pPr>
        <w:pStyle w:val="ListParagraph"/>
        <w:numPr>
          <w:ilvl w:val="0"/>
          <w:numId w:val="2"/>
        </w:numPr>
        <w:spacing w:after="30" w:before="30"/>
      </w:pPr>
      <w:r>
        <w:t xml:space="preserve">Escalade au super-administrateur</w:t>
      </w:r>
    </w:p>
    <w:p>
      <w:pPr>
        <w:spacing w:after="80" w:before="80"/>
      </w:pPr>
      <w:r>
        <w:rPr>
          <w:b w:val="false"/>
          <w:bCs w:val="false"/>
          <w:i w:val="false"/>
          <w:iCs w:val="false"/>
          <w:color w:val="000000"/>
          <w:sz w:val="22"/>
          <w:szCs w:val="22"/>
        </w:rPr>
        <w:t xml:space="preserve">La libération effective intervient sous 12 à 24 heures suivant la décision. L'utilisateur est notifié par les canaux activés.</w:t>
      </w:r>
    </w:p>
    <w:p>
      <w:pPr>
        <w:pStyle w:val="Heading2"/>
        <w:spacing w:after="120" w:before="240"/>
      </w:pPr>
      <w:r>
        <w:rPr>
          <w:b/>
          <w:bCs/>
          <w:color w:val="1B3A57"/>
          <w:sz w:val="28"/>
          <w:szCs w:val="28"/>
        </w:rPr>
        <w:t xml:space="preserve">5.5 Abonnement professionnel</w:t>
      </w:r>
    </w:p>
    <w:p>
      <w:pPr>
        <w:pStyle w:val="ListParagraph"/>
        <w:numPr>
          <w:ilvl w:val="0"/>
          <w:numId w:val="2"/>
        </w:numPr>
        <w:spacing w:after="30" w:before="30"/>
      </w:pPr>
      <w:r>
        <w:t xml:space="preserve">Souscription via Stripe Checkout (page hébergée par Stripe pour minimiser les développements et garantir la conformité PCI-DSS)</w:t>
      </w:r>
    </w:p>
    <w:p>
      <w:pPr>
        <w:pStyle w:val="ListParagraph"/>
        <w:numPr>
          <w:ilvl w:val="0"/>
          <w:numId w:val="2"/>
        </w:numPr>
        <w:spacing w:after="30" w:before="30"/>
      </w:pPr>
      <w:r>
        <w:t xml:space="preserve">Plan unique professionnel pour le MVP, paramétrable côté administrateur (montant mensuel, taux de discount, conditions)</w:t>
      </w:r>
    </w:p>
    <w:p>
      <w:pPr>
        <w:pStyle w:val="ListParagraph"/>
        <w:numPr>
          <w:ilvl w:val="0"/>
          <w:numId w:val="2"/>
        </w:numPr>
        <w:spacing w:after="30" w:before="30"/>
      </w:pPr>
      <w:r>
        <w:t xml:space="preserve">Application automatique du discount lors de la réservation (figé dans la session pour stabilité)</w:t>
      </w:r>
    </w:p>
    <w:p>
      <w:pPr>
        <w:pStyle w:val="ListParagraph"/>
        <w:numPr>
          <w:ilvl w:val="0"/>
          <w:numId w:val="2"/>
        </w:numPr>
        <w:spacing w:after="30" w:before="30"/>
      </w:pPr>
      <w:r>
        <w:t xml:space="preserve">Gestion par l'utilisateur via Stripe Customer Portal (page hébergée Stripe) : changement de carte, téléchargement de factures, mise en pause, résiliation</w:t>
      </w:r>
    </w:p>
    <w:p>
      <w:pPr>
        <w:pStyle w:val="ListParagraph"/>
        <w:numPr>
          <w:ilvl w:val="0"/>
          <w:numId w:val="2"/>
        </w:numPr>
        <w:spacing w:after="30" w:before="30"/>
      </w:pPr>
      <w:r>
        <w:t xml:space="preserve">Gestion administrateur via le back-office : liste des abonnés actifs, métriques (MRR), action manuelle ponctuelle (réservée au super-administrateur)</w:t>
      </w:r>
    </w:p>
    <w:p>
      <w:pPr>
        <w:pStyle w:val="Heading2"/>
        <w:spacing w:after="120" w:before="240"/>
      </w:pPr>
      <w:r>
        <w:rPr>
          <w:b/>
          <w:bCs/>
          <w:color w:val="1B3A57"/>
          <w:sz w:val="28"/>
          <w:szCs w:val="28"/>
        </w:rPr>
        <w:t xml:space="preserve">5.6 Vente de consommables</w:t>
      </w:r>
    </w:p>
    <w:p>
      <w:pPr>
        <w:pStyle w:val="ListParagraph"/>
        <w:numPr>
          <w:ilvl w:val="0"/>
          <w:numId w:val="2"/>
        </w:numPr>
        <w:spacing w:after="30" w:before="30"/>
      </w:pPr>
      <w:r>
        <w:t xml:space="preserve">Catalogue distinct des outils en location, présentant des produits achetables directement (mèches, lames, pièces d'usure)</w:t>
      </w:r>
    </w:p>
    <w:p>
      <w:pPr>
        <w:pStyle w:val="ListParagraph"/>
        <w:numPr>
          <w:ilvl w:val="0"/>
          <w:numId w:val="2"/>
        </w:numPr>
        <w:spacing w:after="30" w:before="30"/>
      </w:pPr>
      <w:r>
        <w:t xml:space="preserve">Paiement immédiat sans caution</w:t>
      </w:r>
    </w:p>
    <w:p>
      <w:pPr>
        <w:pStyle w:val="ListParagraph"/>
        <w:numPr>
          <w:ilvl w:val="0"/>
          <w:numId w:val="2"/>
        </w:numPr>
        <w:spacing w:after="30" w:before="30"/>
      </w:pPr>
      <w:r>
        <w:t xml:space="preserve">Authentification borne, ouverture du casier dédié, prise du produit, fermeture, décrémentation automatique du stock</w:t>
      </w:r>
    </w:p>
    <w:p>
      <w:pPr>
        <w:pStyle w:val="ListParagraph"/>
        <w:numPr>
          <w:ilvl w:val="0"/>
          <w:numId w:val="2"/>
        </w:numPr>
        <w:spacing w:after="30" w:before="30"/>
      </w:pPr>
      <w:r>
        <w:t xml:space="preserve">Émission immédiate de la facture conforme</w:t>
      </w:r>
    </w:p>
    <w:p>
      <w:pPr>
        <w:pStyle w:val="Heading2"/>
        <w:spacing w:after="120" w:before="240"/>
      </w:pPr>
      <w:r>
        <w:rPr>
          <w:b/>
          <w:bCs/>
          <w:color w:val="1B3A57"/>
          <w:sz w:val="28"/>
          <w:szCs w:val="28"/>
        </w:rPr>
        <w:t xml:space="preserve">5.7 Gestion des incidents</w:t>
      </w:r>
    </w:p>
    <w:p>
      <w:pPr>
        <w:pStyle w:val="ListParagraph"/>
        <w:numPr>
          <w:ilvl w:val="0"/>
          <w:numId w:val="2"/>
        </w:numPr>
        <w:spacing w:after="30" w:before="30"/>
      </w:pPr>
      <w:r>
        <w:t xml:space="preserve">Détection automatique (capteurs Kasier, alertes système) ou signalement manuel (utilisateur ou opérateur)</w:t>
      </w:r>
    </w:p>
    <w:p>
      <w:pPr>
        <w:pStyle w:val="ListParagraph"/>
        <w:numPr>
          <w:ilvl w:val="0"/>
          <w:numId w:val="2"/>
        </w:numPr>
        <w:spacing w:after="30" w:before="30"/>
      </w:pPr>
      <w:r>
        <w:t xml:space="preserve">Création d'un ticket en back-office, affectation, suivi, résolution documentée, clôture</w:t>
      </w:r>
    </w:p>
    <w:p>
      <w:pPr>
        <w:pStyle w:val="ListParagraph"/>
        <w:numPr>
          <w:ilvl w:val="0"/>
          <w:numId w:val="2"/>
        </w:numPr>
        <w:spacing w:after="30" w:before="30"/>
      </w:pPr>
      <w:r>
        <w:t xml:space="preserve">Escalade selon criticité aux profils autorisés</w:t>
      </w:r>
    </w:p>
    <w:p>
      <w:pPr>
        <w:pStyle w:val="Heading2"/>
        <w:spacing w:after="120" w:before="240"/>
      </w:pPr>
      <w:r>
        <w:rPr>
          <w:b/>
          <w:bCs/>
          <w:color w:val="1B3A57"/>
          <w:sz w:val="28"/>
          <w:szCs w:val="28"/>
        </w:rPr>
        <w:t xml:space="preserve">5.8 Reporting</w:t>
      </w:r>
    </w:p>
    <w:p>
      <w:pPr>
        <w:spacing w:after="80" w:before="80"/>
      </w:pPr>
      <w:r>
        <w:rPr>
          <w:b w:val="false"/>
          <w:bCs w:val="false"/>
          <w:i w:val="false"/>
          <w:iCs w:val="false"/>
          <w:color w:val="000000"/>
          <w:sz w:val="22"/>
          <w:szCs w:val="22"/>
        </w:rPr>
        <w:t xml:space="preserve">Le back-office propose un tableau de bord avec les indicateurs essentiels du MVP :</w:t>
      </w:r>
    </w:p>
    <w:p>
      <w:pPr>
        <w:pStyle w:val="ListParagraph"/>
        <w:numPr>
          <w:ilvl w:val="0"/>
          <w:numId w:val="2"/>
        </w:numPr>
        <w:spacing w:after="30" w:before="30"/>
      </w:pPr>
      <w:r>
        <w:t xml:space="preserve">Revenus par période, par outil, par catégorie, par type de session (simple ou pack)</w:t>
      </w:r>
    </w:p>
    <w:p>
      <w:pPr>
        <w:pStyle w:val="ListParagraph"/>
        <w:numPr>
          <w:ilvl w:val="0"/>
          <w:numId w:val="2"/>
        </w:numPr>
        <w:spacing w:after="30" w:before="30"/>
      </w:pPr>
      <w:r>
        <w:t xml:space="preserve">Taux d'occupation des casiers</w:t>
      </w:r>
    </w:p>
    <w:p>
      <w:pPr>
        <w:pStyle w:val="ListParagraph"/>
        <w:numPr>
          <w:ilvl w:val="0"/>
          <w:numId w:val="2"/>
        </w:numPr>
        <w:spacing w:after="30" w:before="30"/>
      </w:pPr>
      <w:r>
        <w:t xml:space="preserve">Suivi des incidents par statut et évolution dans le temps</w:t>
      </w:r>
    </w:p>
    <w:p>
      <w:pPr>
        <w:pStyle w:val="ListParagraph"/>
        <w:numPr>
          <w:ilvl w:val="0"/>
          <w:numId w:val="2"/>
        </w:numPr>
        <w:spacing w:after="30" w:before="30"/>
      </w:pPr>
      <w:r>
        <w:t xml:space="preserve">Cautions captées versus libérées</w:t>
      </w:r>
    </w:p>
    <w:p>
      <w:pPr>
        <w:pStyle w:val="ListParagraph"/>
        <w:numPr>
          <w:ilvl w:val="0"/>
          <w:numId w:val="2"/>
        </w:numPr>
        <w:spacing w:after="30" w:before="30"/>
      </w:pPr>
      <w:r>
        <w:t xml:space="preserve">Abonnés actifs et revenu récurrent mensuel (MRR)</w:t>
      </w:r>
    </w:p>
    <w:p>
      <w:pPr>
        <w:pStyle w:val="ListParagraph"/>
        <w:numPr>
          <w:ilvl w:val="0"/>
          <w:numId w:val="2"/>
        </w:numPr>
        <w:spacing w:after="30" w:before="30"/>
      </w:pPr>
      <w:r>
        <w:t xml:space="preserve">Export comptable mensuel automatique au format CSV/XLSX, compatible avec Pennylane et les outils standards</w:t>
      </w:r>
    </w:p>
    <w:p>
      <w:pPr>
        <w:pStyle w:val="Heading1"/>
        <w:pageBreakBefore/>
      </w:pPr>
      <w:r>
        <w:rPr>
          <w:b/>
          <w:bCs/>
          <w:color w:val="1B3A57"/>
          <w:sz w:val="36"/>
          <w:szCs w:val="36"/>
        </w:rPr>
        <w:t xml:space="preserve">6. Spécifications techniques</w:t>
      </w:r>
    </w:p>
    <w:p>
      <w:pPr>
        <w:spacing w:after="80" w:before="80"/>
      </w:pPr>
      <w:r>
        <w:rPr>
          <w:b w:val="false"/>
          <w:bCs w:val="false"/>
          <w:i w:val="false"/>
          <w:iCs w:val="false"/>
          <w:color w:val="000000"/>
          <w:sz w:val="22"/>
          <w:szCs w:val="22"/>
        </w:rPr>
        <w:t xml:space="preserve">Cette section synthétise les choix techniques structurants. La spécification détaillée est fournie dans l'annexe « Architecture technique V2 ».</w:t>
      </w:r>
    </w:p>
    <w:p>
      <w:pPr>
        <w:pStyle w:val="Heading2"/>
        <w:spacing w:after="120" w:before="240"/>
      </w:pPr>
      <w:r>
        <w:rPr>
          <w:b/>
          <w:bCs/>
          <w:color w:val="1B3A57"/>
          <w:sz w:val="28"/>
          <w:szCs w:val="28"/>
        </w:rPr>
        <w:t xml:space="preserve">6.1 Architecture générale</w:t>
      </w:r>
    </w:p>
    <w:p>
      <w:pPr>
        <w:spacing w:after="80" w:before="80"/>
      </w:pPr>
      <w:r>
        <w:rPr>
          <w:b w:val="false"/>
          <w:bCs w:val="false"/>
          <w:i w:val="false"/>
          <w:iCs w:val="false"/>
          <w:color w:val="000000"/>
          <w:sz w:val="22"/>
          <w:szCs w:val="22"/>
        </w:rPr>
        <w:t xml:space="preserve">La solution est conçue comme une application web monolithique Next.js déployée sur Vercel, exposant à la fois l'interface utilisateur PWA, l'interface back-office administrateur et l'API métier. Elle s'appuie sur Supabase (Postgres managé) pour la persistance, l'authentification et le temps réel, et sur Cloudflare R2 pour le stockage des médias (photos et vidéos).</w:t>
      </w:r>
    </w:p>
    <w:p>
      <w:pPr>
        <w:spacing w:after="80" w:before="80"/>
      </w:pPr>
      <w:r>
        <w:rPr>
          <w:b w:val="false"/>
          <w:bCs w:val="false"/>
          <w:i w:val="false"/>
          <w:iCs w:val="false"/>
          <w:color w:val="000000"/>
          <w:sz w:val="22"/>
          <w:szCs w:val="22"/>
        </w:rPr>
        <w:t xml:space="preserve">La conception est multi-sites par construction : toutes les entités métier portent une référence au site, et la sécurité est assurée par les Row Level Security policies de Postgres. L'extension à plusieurs sites ne nécessite aucune refonte structurelle.</w:t>
      </w:r>
    </w:p>
    <w:p>
      <w:pPr>
        <w:pStyle w:val="Heading2"/>
        <w:spacing w:after="120" w:before="240"/>
      </w:pPr>
      <w:r>
        <w:rPr>
          <w:b/>
          <w:bCs/>
          <w:color w:val="1B3A57"/>
          <w:sz w:val="28"/>
          <w:szCs w:val="28"/>
        </w:rPr>
        <w:t xml:space="preserve">6.2 Stack technologique retenue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26"/>
      </w:tblGrid>
      <w:tr>
        <w:trPr>
          <w:tblHeader/>
        </w:trPr>
        <w:tc>
          <w:tcPr>
            <w:tcW w:type="dxa" w:w="30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Couche</w:t>
            </w:r>
          </w:p>
        </w:tc>
        <w:tc>
          <w:tcPr>
            <w:tcW w:type="dxa" w:w="30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Solution retenue</w:t>
            </w:r>
          </w:p>
        </w:tc>
        <w:tc>
          <w:tcPr>
            <w:tcW w:type="dxa" w:w="30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Justification</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Frontend + API</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Next.js 14 sur Vercel</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Monolithe, déploiement unique, SSR + PWA</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Couche API</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Hono</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Validation, OpenAPI auto, lisible</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Base de données</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Supabase Postgres</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Multi-tenant, RLS natif, scale prouvé</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Authentification</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Supabase Auth</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Magic link + 2FA, intégré au RLS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Stockage médias</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Cloudflare R2</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Egress gratuit, économique au scale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Jobs et workflows</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Inngest</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Step functions parfaites pour cycle de location</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Paiement</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Stripe + Stripe Elements</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Pré-autorisation manuelle + Subscriptions + Customer Portal</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Email transactionnel</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Resend</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Templates JSX, deliverabilité</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SMS</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Brevo</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Couverture France, prix raisonnable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Vision IA</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OpenAI gpt-4o-mini</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Coût faible, latence acceptable</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Tests</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Vitest + Playwright</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Standard moderne TypeScript</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Observabilité</w:t>
            </w:r>
          </w:p>
        </w:tc>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Sentry + Inngest dashboard</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Erreurs, performance, jobs</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Comptabilité</w:t>
            </w:r>
          </w:p>
        </w:tc>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Pennylane (à confirmer)</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Conformité française, intégration Stripe native</w:t>
            </w:r>
          </w:p>
        </w:tc>
      </w:tr>
    </w:tbl>
    <w:p>
      <w:pPr>
        <w:pStyle w:val="Heading2"/>
        <w:spacing w:after="120" w:before="240"/>
      </w:pPr>
      <w:r>
        <w:rPr>
          <w:b/>
          <w:bCs/>
          <w:color w:val="1B3A57"/>
          <w:sz w:val="28"/>
          <w:szCs w:val="28"/>
        </w:rPr>
        <w:t xml:space="preserve">6.3 Sécurité applicative</w:t>
      </w:r>
    </w:p>
    <w:p>
      <w:pPr>
        <w:spacing w:after="80" w:before="80"/>
      </w:pPr>
      <w:r>
        <w:rPr>
          <w:b w:val="false"/>
          <w:bCs w:val="false"/>
          <w:i w:val="false"/>
          <w:iCs w:val="false"/>
          <w:color w:val="000000"/>
          <w:sz w:val="22"/>
          <w:szCs w:val="22"/>
        </w:rPr>
        <w:t xml:space="preserve">La plateforme manipule des données personnelles, des paiements, des cautions et le pilotage physique de matériel. Les mesures de sécurité suivantes sont mises en place dès le MVP :</w:t>
      </w:r>
    </w:p>
    <w:p>
      <w:pPr>
        <w:pStyle w:val="ListParagraph"/>
        <w:numPr>
          <w:ilvl w:val="0"/>
          <w:numId w:val="2"/>
        </w:numPr>
        <w:spacing w:after="30" w:before="30"/>
      </w:pPr>
      <w:r>
        <w:t xml:space="preserve">Conformité PCI-DSS niveau SAQ-A (toute saisie de carte est gérée par Stripe Elements, aucune donnée carte ne transite par nos serveurs)</w:t>
      </w:r>
    </w:p>
    <w:p>
      <w:pPr>
        <w:pStyle w:val="ListParagraph"/>
        <w:numPr>
          <w:ilvl w:val="0"/>
          <w:numId w:val="2"/>
        </w:numPr>
        <w:spacing w:after="30" w:before="30"/>
      </w:pPr>
      <w:r>
        <w:t xml:space="preserve">Authentification à deux facteurs (TOTP) obligatoire pour tous les comptes administrateurs</w:t>
      </w:r>
    </w:p>
    <w:p>
      <w:pPr>
        <w:pStyle w:val="ListParagraph"/>
        <w:numPr>
          <w:ilvl w:val="0"/>
          <w:numId w:val="2"/>
        </w:numPr>
        <w:spacing w:after="30" w:before="30"/>
      </w:pPr>
      <w:r>
        <w:t xml:space="preserve">Row Level Security activé sur toutes les tables sensibles, vérifié à chaque requête</w:t>
      </w:r>
    </w:p>
    <w:p>
      <w:pPr>
        <w:pStyle w:val="ListParagraph"/>
        <w:numPr>
          <w:ilvl w:val="0"/>
          <w:numId w:val="2"/>
        </w:numPr>
        <w:spacing w:after="30" w:before="30"/>
      </w:pPr>
      <w:r>
        <w:t xml:space="preserve">Rate limiting par utilisateur et par adresse IP sur les endpoints sensibles</w:t>
      </w:r>
    </w:p>
    <w:p>
      <w:pPr>
        <w:pStyle w:val="ListParagraph"/>
        <w:numPr>
          <w:ilvl w:val="0"/>
          <w:numId w:val="2"/>
        </w:numPr>
        <w:spacing w:after="30" w:before="30"/>
      </w:pPr>
      <w:r>
        <w:t xml:space="preserve">Headers de sécurité standards (CSP, HSTS), HTTPS forcé</w:t>
      </w:r>
    </w:p>
    <w:p>
      <w:pPr>
        <w:pStyle w:val="ListParagraph"/>
        <w:numPr>
          <w:ilvl w:val="0"/>
          <w:numId w:val="2"/>
        </w:numPr>
        <w:spacing w:after="30" w:before="30"/>
      </w:pPr>
      <w:r>
        <w:t xml:space="preserve">Signature HMAC-SHA256 sur les communications avec la borne, rotation des clés tous les 30 jours</w:t>
      </w:r>
    </w:p>
    <w:p>
      <w:pPr>
        <w:pStyle w:val="ListParagraph"/>
        <w:numPr>
          <w:ilvl w:val="0"/>
          <w:numId w:val="2"/>
        </w:numPr>
        <w:spacing w:after="30" w:before="30"/>
      </w:pPr>
      <w:r>
        <w:t xml:space="preserve">Validation et nettoyage des médias uploadés (suppression EXIF, hash SHA-256 stocké pour intégrité)</w:t>
      </w:r>
    </w:p>
    <w:p>
      <w:pPr>
        <w:pStyle w:val="ListParagraph"/>
        <w:numPr>
          <w:ilvl w:val="0"/>
          <w:numId w:val="2"/>
        </w:numPr>
        <w:spacing w:after="30" w:before="30"/>
      </w:pPr>
      <w:r>
        <w:t xml:space="preserve">Journal d'audit immutable des actions administrateur et des événements critiques</w:t>
      </w:r>
    </w:p>
    <w:p>
      <w:pPr>
        <w:pStyle w:val="Heading2"/>
        <w:spacing w:after="120" w:before="240"/>
      </w:pPr>
      <w:r>
        <w:rPr>
          <w:b/>
          <w:bCs/>
          <w:color w:val="1B3A57"/>
          <w:sz w:val="28"/>
          <w:szCs w:val="28"/>
        </w:rPr>
        <w:t xml:space="preserve">6.4 Intégration matérielle Kasier</w:t>
      </w:r>
    </w:p>
    <w:p>
      <w:pPr>
        <w:spacing w:after="80" w:before="80"/>
      </w:pPr>
      <w:r>
        <w:rPr>
          <w:b w:val="false"/>
          <w:bCs w:val="false"/>
          <w:i w:val="false"/>
          <w:iCs w:val="false"/>
          <w:color w:val="000000"/>
          <w:sz w:val="22"/>
          <w:szCs w:val="22"/>
        </w:rPr>
        <w:t xml:space="preserve">L'intégration avec le matériel Kasier.fr passe par une couche d'abstraction logicielle permettant de découpler le code métier du fournisseur. Cette architecture est documentée en détail dans l'annexe « Design intégration Kasier V2 ».</w:t>
      </w:r>
    </w:p>
    <w:p>
      <w:pPr>
        <w:spacing w:after="80" w:before="80"/>
      </w:pPr>
      <w:r>
        <w:rPr>
          <w:b w:val="false"/>
          <w:bCs w:val="false"/>
          <w:i w:val="false"/>
          <w:iCs w:val="false"/>
          <w:color w:val="000000"/>
          <w:sz w:val="22"/>
          <w:szCs w:val="22"/>
        </w:rPr>
        <w:t xml:space="preserve">Pour les packs multi-outils, l'ouverture séquentielle de plusieurs casiers est gérée de manière atomique : la réservation d'un pack n'aboutit que si tous les casiers attendus sont disponibles ; en cas d'échec de l'un d'eux au retrait, une procédure de fallback documentée s'enclenche.</w:t>
      </w:r>
    </w:p>
    <w:p>
      <w:pPr>
        <w:pStyle w:val="Heading2"/>
        <w:spacing w:after="120" w:before="240"/>
      </w:pPr>
      <w:r>
        <w:rPr>
          <w:b/>
          <w:bCs/>
          <w:color w:val="1B3A57"/>
          <w:sz w:val="28"/>
          <w:szCs w:val="28"/>
        </w:rPr>
        <w:t xml:space="preserve">6.5 Performance attendue</w:t>
      </w:r>
    </w:p>
    <w:p>
      <w:pPr>
        <w:pStyle w:val="ListParagraph"/>
        <w:numPr>
          <w:ilvl w:val="0"/>
          <w:numId w:val="2"/>
        </w:numPr>
        <w:spacing w:after="30" w:before="30"/>
      </w:pPr>
      <w:r>
        <w:t xml:space="preserve">Disponibilité globale cible : 99,5 % en moyenne mensuelle</w:t>
      </w:r>
    </w:p>
    <w:p>
      <w:pPr>
        <w:pStyle w:val="ListParagraph"/>
        <w:numPr>
          <w:ilvl w:val="0"/>
          <w:numId w:val="2"/>
        </w:numPr>
        <w:spacing w:after="30" w:before="30"/>
      </w:pPr>
      <w:r>
        <w:t xml:space="preserve">Latence p95 du catalogue : moins de 500 millisecondes</w:t>
      </w:r>
    </w:p>
    <w:p>
      <w:pPr>
        <w:pStyle w:val="ListParagraph"/>
        <w:numPr>
          <w:ilvl w:val="0"/>
          <w:numId w:val="2"/>
        </w:numPr>
        <w:spacing w:after="30" w:before="30"/>
      </w:pPr>
      <w:r>
        <w:t xml:space="preserve">Latence p95 de la réservation : moins de 1,5 seconde (2 secondes pour un pack)</w:t>
      </w:r>
    </w:p>
    <w:p>
      <w:pPr>
        <w:pStyle w:val="ListParagraph"/>
        <w:numPr>
          <w:ilvl w:val="0"/>
          <w:numId w:val="2"/>
        </w:numPr>
        <w:spacing w:after="30" w:before="30"/>
      </w:pPr>
      <w:r>
        <w:t xml:space="preserve">Latence p95 d'ouverture de casier : moins de 2 secondes</w:t>
      </w:r>
    </w:p>
    <w:p>
      <w:pPr>
        <w:pStyle w:val="ListParagraph"/>
        <w:numPr>
          <w:ilvl w:val="0"/>
          <w:numId w:val="2"/>
        </w:numPr>
        <w:spacing w:after="30" w:before="30"/>
      </w:pPr>
      <w:r>
        <w:t xml:space="preserve">Délai de libération de caution post-validation : moins d'une heure</w:t>
      </w:r>
    </w:p>
    <w:p>
      <w:pPr>
        <w:pStyle w:val="Heading1"/>
        <w:pageBreakBefore/>
      </w:pPr>
      <w:r>
        <w:rPr>
          <w:b/>
          <w:bCs/>
          <w:color w:val="1B3A57"/>
          <w:sz w:val="36"/>
          <w:szCs w:val="36"/>
        </w:rPr>
        <w:t xml:space="preserve">7. Contraintes et obligations</w:t>
      </w:r>
    </w:p>
    <w:p>
      <w:pPr>
        <w:pStyle w:val="Heading2"/>
        <w:spacing w:after="120" w:before="240"/>
      </w:pPr>
      <w:r>
        <w:rPr>
          <w:b/>
          <w:bCs/>
          <w:color w:val="1B3A57"/>
          <w:sz w:val="28"/>
          <w:szCs w:val="28"/>
        </w:rPr>
        <w:t xml:space="preserve">7.1 Contraintes légales et réglementaires</w:t>
      </w:r>
    </w:p>
    <w:p>
      <w:pPr>
        <w:pStyle w:val="Heading3"/>
        <w:spacing w:after="80" w:before="200"/>
      </w:pPr>
      <w:r>
        <w:rPr>
          <w:b/>
          <w:bCs/>
          <w:color w:val="E07B2C"/>
          <w:sz w:val="24"/>
          <w:szCs w:val="24"/>
        </w:rPr>
        <w:t xml:space="preserve">7.1.1 Conformité RGPD</w:t>
      </w:r>
    </w:p>
    <w:p>
      <w:pPr>
        <w:spacing w:after="80" w:before="80"/>
      </w:pPr>
      <w:r>
        <w:rPr>
          <w:b w:val="false"/>
          <w:bCs w:val="false"/>
          <w:i w:val="false"/>
          <w:iCs w:val="false"/>
          <w:color w:val="000000"/>
          <w:sz w:val="22"/>
          <w:szCs w:val="22"/>
        </w:rPr>
        <w:t xml:space="preserve">La plateforme manipule des données personnelles (nom, email, téléphone, adresse, moyen de paiement, photos et vidéos contenant potentiellement le visage d'utilisateurs). À ce titre, les obligations RGPD suivantes s'appliquent :</w:t>
      </w:r>
    </w:p>
    <w:p>
      <w:pPr>
        <w:pStyle w:val="ListParagraph"/>
        <w:numPr>
          <w:ilvl w:val="0"/>
          <w:numId w:val="2"/>
        </w:numPr>
        <w:spacing w:after="30" w:before="30"/>
      </w:pPr>
      <w:r>
        <w:t xml:space="preserve">Production d'une analyse d'impact relative à la protection des données (DPIA), à confier à un délégué à la protection des données externe par le maître d'ouvrage</w:t>
      </w:r>
    </w:p>
    <w:p>
      <w:pPr>
        <w:pStyle w:val="ListParagraph"/>
        <w:numPr>
          <w:ilvl w:val="0"/>
          <w:numId w:val="2"/>
        </w:numPr>
        <w:spacing w:after="30" w:before="30"/>
      </w:pPr>
      <w:r>
        <w:t xml:space="preserve">Mention sur la collecte et le traitement des données dans les CGU et la politique de confidentialité (à fournir par le maître d'ouvrage avant la mise en production)</w:t>
      </w:r>
    </w:p>
    <w:p>
      <w:pPr>
        <w:pStyle w:val="ListParagraph"/>
        <w:numPr>
          <w:ilvl w:val="0"/>
          <w:numId w:val="2"/>
        </w:numPr>
        <w:spacing w:after="30" w:before="30"/>
      </w:pPr>
      <w:r>
        <w:t xml:space="preserve">Mise en place du droit d'accès, de rectification, d'opposition, de portabilité et à l'oubli</w:t>
      </w:r>
    </w:p>
    <w:p>
      <w:pPr>
        <w:pStyle w:val="ListParagraph"/>
        <w:numPr>
          <w:ilvl w:val="0"/>
          <w:numId w:val="2"/>
        </w:numPr>
        <w:spacing w:after="30" w:before="30"/>
      </w:pPr>
      <w:r>
        <w:t xml:space="preserve">Politique de rétention des médias définie : 90 jours par défaut après clôture, prolongation automatique en cas de litige ouvert</w:t>
      </w:r>
    </w:p>
    <w:p>
      <w:pPr>
        <w:pStyle w:val="ListParagraph"/>
        <w:numPr>
          <w:ilvl w:val="0"/>
          <w:numId w:val="2"/>
        </w:numPr>
        <w:spacing w:after="30" w:before="30"/>
      </w:pPr>
      <w:r>
        <w:t xml:space="preserve">Contrats de sous-traitance (DPA) avec les prestataires manipulant des données personnelles : Stripe, Supabase, OpenAI, Resend, Brevo, Cloudflare R2</w:t>
      </w:r>
    </w:p>
    <w:p>
      <w:pPr>
        <w:pStyle w:val="Heading3"/>
        <w:spacing w:after="80" w:before="200"/>
      </w:pPr>
      <w:r>
        <w:rPr>
          <w:b/>
          <w:bCs/>
          <w:color w:val="E07B2C"/>
          <w:sz w:val="24"/>
          <w:szCs w:val="24"/>
        </w:rPr>
        <w:t xml:space="preserve">7.1.2 Conformité facturation française</w:t>
      </w:r>
    </w:p>
    <w:p>
      <w:pPr>
        <w:pStyle w:val="ListParagraph"/>
        <w:numPr>
          <w:ilvl w:val="0"/>
          <w:numId w:val="2"/>
        </w:numPr>
        <w:spacing w:after="30" w:before="30"/>
      </w:pPr>
      <w:r>
        <w:t xml:space="preserve">Émission de factures avec numérotation séquentielle continue sans trou (obligation NF525)</w:t>
      </w:r>
    </w:p>
    <w:p>
      <w:pPr>
        <w:pStyle w:val="ListParagraph"/>
        <w:numPr>
          <w:ilvl w:val="0"/>
          <w:numId w:val="2"/>
        </w:numPr>
        <w:spacing w:after="30" w:before="30"/>
      </w:pPr>
      <w:r>
        <w:t xml:space="preserve">Mentions légales obligatoires : SIRET et raison sociale émetteur et client B2B, TVA collectée, conditions de paiement, pénalités de retard</w:t>
      </w:r>
    </w:p>
    <w:p>
      <w:pPr>
        <w:pStyle w:val="ListParagraph"/>
        <w:numPr>
          <w:ilvl w:val="0"/>
          <w:numId w:val="2"/>
        </w:numPr>
        <w:spacing w:after="30" w:before="30"/>
      </w:pPr>
      <w:r>
        <w:t xml:space="preserve">Archivage des factures pendant 10 ans en format inaltérable</w:t>
      </w:r>
    </w:p>
    <w:p>
      <w:pPr>
        <w:pStyle w:val="ListParagraph"/>
        <w:numPr>
          <w:ilvl w:val="0"/>
          <w:numId w:val="2"/>
        </w:numPr>
        <w:spacing w:after="30" w:before="30"/>
      </w:pPr>
      <w:r>
        <w:t xml:space="preserve">Gestion des avoirs avec numérotation séquentielle distincte et référence à la facture initiale</w:t>
      </w:r>
    </w:p>
    <w:p>
      <w:pPr>
        <w:pStyle w:val="ListParagraph"/>
        <w:numPr>
          <w:ilvl w:val="0"/>
          <w:numId w:val="2"/>
        </w:numPr>
        <w:spacing w:after="30" w:before="30"/>
      </w:pPr>
      <w:r>
        <w:t xml:space="preserve">Intégration avec un outil tiers conforme (Pennylane recommandé)</w:t>
      </w:r>
    </w:p>
    <w:p>
      <w:pPr>
        <w:pStyle w:val="Heading3"/>
        <w:spacing w:after="80" w:before="200"/>
      </w:pPr>
      <w:r>
        <w:rPr>
          <w:b/>
          <w:bCs/>
          <w:color w:val="E07B2C"/>
          <w:sz w:val="24"/>
          <w:szCs w:val="24"/>
        </w:rPr>
        <w:t xml:space="preserve">7.1.3 Conformité paiement (PSD2 / SCA)</w:t>
      </w:r>
    </w:p>
    <w:p>
      <w:pPr>
        <w:pStyle w:val="ListParagraph"/>
        <w:numPr>
          <w:ilvl w:val="0"/>
          <w:numId w:val="2"/>
        </w:numPr>
        <w:spacing w:after="30" w:before="30"/>
      </w:pPr>
      <w:r>
        <w:t xml:space="preserve">Authentification forte du client (SCA) sur les transactions concernées, gérée automatiquement par Stripe via 3D Secure</w:t>
      </w:r>
    </w:p>
    <w:p>
      <w:pPr>
        <w:pStyle w:val="Heading2"/>
        <w:spacing w:after="120" w:before="240"/>
      </w:pPr>
      <w:r>
        <w:rPr>
          <w:b/>
          <w:bCs/>
          <w:color w:val="1B3A57"/>
          <w:sz w:val="28"/>
          <w:szCs w:val="28"/>
        </w:rPr>
        <w:t xml:space="preserve">7.2 Contraintes techniques</w:t>
      </w:r>
    </w:p>
    <w:p>
      <w:pPr>
        <w:pStyle w:val="ListParagraph"/>
        <w:numPr>
          <w:ilvl w:val="0"/>
          <w:numId w:val="2"/>
        </w:numPr>
        <w:spacing w:after="30" w:before="30"/>
      </w:pPr>
      <w:r>
        <w:t xml:space="preserve">Connectivité fiable sur le site pilote (fibre ou 4G stable) — à garantir par le maître d'ouvrage</w:t>
      </w:r>
    </w:p>
    <w:p>
      <w:pPr>
        <w:pStyle w:val="ListParagraph"/>
        <w:numPr>
          <w:ilvl w:val="0"/>
          <w:numId w:val="2"/>
        </w:numPr>
        <w:spacing w:after="30" w:before="30"/>
      </w:pPr>
      <w:r>
        <w:t xml:space="preserve">Compte Stripe activé au nom de la société, KYC validé, plafond suffisant pour les pré-autorisations cumulées</w:t>
      </w:r>
    </w:p>
    <w:p>
      <w:pPr>
        <w:pStyle w:val="ListParagraph"/>
        <w:numPr>
          <w:ilvl w:val="0"/>
          <w:numId w:val="2"/>
        </w:numPr>
        <w:spacing w:after="30" w:before="30"/>
      </w:pPr>
      <w:r>
        <w:t xml:space="preserve">API Kasier.fr documentée, accessible et stable (à obtenir formellement par le maître d'ouvrage auprès de Kasier)</w:t>
      </w:r>
    </w:p>
    <w:p>
      <w:pPr>
        <w:pStyle w:val="ListParagraph"/>
        <w:numPr>
          <w:ilvl w:val="0"/>
          <w:numId w:val="2"/>
        </w:numPr>
        <w:spacing w:after="30" w:before="30"/>
      </w:pPr>
      <w:r>
        <w:t xml:space="preserve">Compte expert-comptable utilisant Pennylane, ou outil équivalent (à confirmer par le maître d'ouvrage)</w:t>
      </w:r>
    </w:p>
    <w:p>
      <w:pPr>
        <w:pStyle w:val="Heading2"/>
        <w:spacing w:after="120" w:before="240"/>
      </w:pPr>
      <w:r>
        <w:rPr>
          <w:b/>
          <w:bCs/>
          <w:color w:val="1B3A57"/>
          <w:sz w:val="28"/>
          <w:szCs w:val="28"/>
        </w:rPr>
        <w:t xml:space="preserve">7.3 Contraintes de planning</w:t>
      </w:r>
    </w:p>
    <w:p>
      <w:pPr>
        <w:spacing w:after="80" w:before="80"/>
      </w:pPr>
      <w:r>
        <w:rPr>
          <w:b w:val="false"/>
          <w:bCs w:val="false"/>
          <w:i w:val="false"/>
          <w:iCs w:val="false"/>
          <w:color w:val="000000"/>
          <w:sz w:val="22"/>
          <w:szCs w:val="22"/>
        </w:rPr>
        <w:t xml:space="preserve">Le projet est engagé pour une durée de 3 mois calendaires à compter de la date de signature du présent cahier des charges, avec mise en service du site pilote visée pour septembre/octobre 2026.</w:t>
      </w:r>
    </w:p>
    <w:p>
      <w:pPr>
        <w:pStyle w:val="Heading2"/>
        <w:spacing w:after="120" w:before="240"/>
      </w:pPr>
      <w:r>
        <w:rPr>
          <w:b/>
          <w:bCs/>
          <w:color w:val="1B3A57"/>
          <w:sz w:val="28"/>
          <w:szCs w:val="28"/>
        </w:rPr>
        <w:t xml:space="preserve">7.4 Engagements et prérequis du maître d'ouvrage</w:t>
      </w:r>
    </w:p>
    <w:p>
      <w:pPr>
        <w:spacing w:after="80" w:before="80"/>
      </w:pPr>
      <w:r>
        <w:rPr>
          <w:b w:val="false"/>
          <w:bCs w:val="false"/>
          <w:i w:val="false"/>
          <w:iCs w:val="false"/>
          <w:color w:val="000000"/>
          <w:sz w:val="22"/>
          <w:szCs w:val="22"/>
        </w:rPr>
        <w:t xml:space="preserve">La tenue du planning et du budget repose sur les engagements suivants du maître d'ouvrage. Tout retard dans la fourniture entraîne un décalage proportionnel du planning, sans modification du périmètre ni du tarif.</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2300"/>
        <w:gridCol w:w="2226"/>
      </w:tblGrid>
      <w:tr>
        <w:trPr>
          <w:tblHeader/>
        </w:trPr>
        <w:tc>
          <w:tcPr>
            <w:tcW w:type="dxa" w:w="4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Élément attendu</w:t>
            </w:r>
          </w:p>
        </w:tc>
        <w:tc>
          <w:tcPr>
            <w:tcW w:type="dxa" w:w="23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Échéance</w:t>
            </w:r>
          </w:p>
        </w:tc>
        <w:tc>
          <w:tcPr>
            <w:tcW w:type="dxa" w:w="22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Impact si retard</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Validation des spécifications fonctionnelles</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Fin Phase 1</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Décale Phase 2</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Confirmation finale du fournisseur Kasier + documentation API</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Avant Phase 3</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Décale Phase 3</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Compte Stripe activé au nom de la société (KYC validé)</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Avant Phase 3</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Décale tests paiement</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Charte graphique, logo, identité visuelle</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Début Phase 2</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Décale Phase 2</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CGU/CGV Toolbox24 rédigées par avocat</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Avant mise en production</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Bloque le GO LIVE</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Politique de confidentialité et mentions légales</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Avant mise en production</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Bloque le GO LIVE</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DPIA RGPD réalisée (DPO externe)</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Avant mise en production</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Bloque le GO LIVE</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Choix de l'outil de facturation conforme (Pennylane recommandé)</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Avant Phase 3</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Bloque facturation</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Catalogue initial des outils + photos de référence</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Début Phase 3</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Décale tests</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Définition des 3 à 5 packs initiaux types BTP</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Début Phase 3</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Décale tests</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Tarif et avantages exacts du plan d'abonnement</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Début Phase 3</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Décale module abonnement</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Validation des livrables sous 5 jours ouvrés à chaque jalon</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Tout au long du projet</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Décale planning</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Site pilote prêt physiquement (bail, électricité, fibre)</w:t>
            </w:r>
          </w:p>
        </w:tc>
        <w:tc>
          <w:tcPr>
            <w:tcW w:type="dxa" w:w="23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Avant Phase 5</w:t>
            </w:r>
          </w:p>
        </w:tc>
        <w:tc>
          <w:tcPr>
            <w:tcW w:type="dxa" w:w="22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C62828"/>
                <w:sz w:val="19"/>
                <w:szCs w:val="19"/>
              </w:rPr>
              <w:t xml:space="preserve">Bloque le GO LIVE</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Personnel d'exploitation formé et disponible</w:t>
            </w:r>
          </w:p>
        </w:tc>
        <w:tc>
          <w:tcPr>
            <w:tcW w:type="dxa" w:w="23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Avant Phase 5</w:t>
            </w:r>
          </w:p>
        </w:tc>
        <w:tc>
          <w:tcPr>
            <w:tcW w:type="dxa" w:w="22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C62828"/>
                <w:sz w:val="19"/>
                <w:szCs w:val="19"/>
              </w:rPr>
              <w:t xml:space="preserve">Bloque le GO LIVE</w:t>
            </w:r>
          </w:p>
        </w:tc>
      </w:tr>
    </w:tbl>
    <w:p>
      <w:pPr>
        <w:pStyle w:val="Heading1"/>
        <w:pageBreakBefore/>
      </w:pPr>
      <w:r>
        <w:rPr>
          <w:b/>
          <w:bCs/>
          <w:color w:val="1B3A57"/>
          <w:sz w:val="36"/>
          <w:szCs w:val="36"/>
        </w:rPr>
        <w:t xml:space="preserve">8. Planning, jalons et livrables</w:t>
      </w:r>
    </w:p>
    <w:p>
      <w:pPr>
        <w:pStyle w:val="Heading2"/>
        <w:spacing w:after="120" w:before="240"/>
      </w:pPr>
      <w:r>
        <w:rPr>
          <w:b/>
          <w:bCs/>
          <w:color w:val="1B3A57"/>
          <w:sz w:val="28"/>
          <w:szCs w:val="28"/>
        </w:rPr>
        <w:t xml:space="preserve">8.1 Phasage du projet</w:t>
      </w:r>
    </w:p>
    <w:p>
      <w:pPr>
        <w:spacing w:after="80" w:before="80"/>
      </w:pPr>
      <w:r>
        <w:rPr>
          <w:b w:val="false"/>
          <w:bCs w:val="false"/>
          <w:i w:val="false"/>
          <w:iCs w:val="false"/>
          <w:color w:val="000000"/>
          <w:sz w:val="22"/>
          <w:szCs w:val="22"/>
        </w:rPr>
        <w:t xml:space="preserve">Le projet est structuré en cinq phases sur une durée totale de 3 mois calendaires. Chaque phase produit des livrables soumis à validation conjointe.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1500"/>
        <w:gridCol w:w="2526"/>
      </w:tblGrid>
      <w:tr>
        <w:trPr>
          <w:tblHeader/>
        </w:trPr>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Phase</w:t>
            </w:r>
          </w:p>
        </w:tc>
        <w:tc>
          <w:tcPr>
            <w:tcW w:type="dxa" w:w="3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Description</w:t>
            </w:r>
          </w:p>
        </w:tc>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Durée</w:t>
            </w:r>
          </w:p>
        </w:tc>
        <w:tc>
          <w:tcPr>
            <w:tcW w:type="dxa" w:w="25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Livrable principal</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E07B2C"/>
                <w:sz w:val="19"/>
                <w:szCs w:val="19"/>
              </w:rPr>
              <w:t xml:space="preserve">Phase 1</w:t>
            </w:r>
          </w:p>
        </w:tc>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Cadrage fonctionnel et architecture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1 à 3 sem.</w:t>
            </w:r>
          </w:p>
        </w:tc>
        <w:tc>
          <w:tcPr>
            <w:tcW w:type="dxa" w:w="2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Spécifications fonctionnelles, architecture validée, backlog priorisé</w:t>
            </w:r>
          </w:p>
        </w:tc>
      </w:tr>
      <w:tr>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E07B2C"/>
                <w:sz w:val="19"/>
                <w:szCs w:val="19"/>
              </w:rPr>
              <w:t xml:space="preserve">Phase 2</w:t>
            </w:r>
          </w:p>
        </w:tc>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UX/UI et conception produit</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1 à 3 sem.</w:t>
            </w:r>
          </w:p>
        </w:tc>
        <w:tc>
          <w:tcPr>
            <w:tcW w:type="dxa" w:w="2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Prototype Figma interactif, UI kit</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E07B2C"/>
                <w:sz w:val="19"/>
                <w:szCs w:val="19"/>
              </w:rPr>
              <w:t xml:space="preserve">Phase 3</w:t>
            </w:r>
          </w:p>
        </w:tc>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Développement de la plateforme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6 à 8 sem.</w:t>
            </w:r>
          </w:p>
        </w:tc>
        <w:tc>
          <w:tcPr>
            <w:tcW w:type="dxa" w:w="2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Plateforme fonctionnelle en pré-production</w:t>
            </w:r>
          </w:p>
        </w:tc>
      </w:tr>
      <w:tr>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E07B2C"/>
                <w:sz w:val="19"/>
                <w:szCs w:val="19"/>
              </w:rPr>
              <w:t xml:space="preserve">Phase 4</w:t>
            </w:r>
          </w:p>
        </w:tc>
        <w:tc>
          <w:tcPr>
            <w:tcW w:type="dxa" w:w="3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Tests, stabilisation et pré-production</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1 à 2 sem.</w:t>
            </w:r>
          </w:p>
        </w:tc>
        <w:tc>
          <w:tcPr>
            <w:tcW w:type="dxa" w:w="2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Version production-ready validée</w:t>
            </w:r>
          </w:p>
        </w:tc>
      </w:tr>
      <w:tr>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E07B2C"/>
                <w:sz w:val="19"/>
                <w:szCs w:val="19"/>
              </w:rPr>
              <w:t xml:space="preserve">Phase 5</w:t>
            </w:r>
          </w:p>
        </w:tc>
        <w:tc>
          <w:tcPr>
            <w:tcW w:type="dxa" w:w="3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Mise en production et GO LIVE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1 sem.</w:t>
            </w:r>
          </w:p>
        </w:tc>
        <w:tc>
          <w:tcPr>
            <w:tcW w:type="dxa" w:w="2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Premier site live et opérationnel</w:t>
            </w:r>
          </w:p>
        </w:tc>
      </w:tr>
    </w:tbl>
    <w:p>
      <w:pPr>
        <w:pStyle w:val="Heading2"/>
        <w:spacing w:after="120" w:before="240"/>
      </w:pPr>
      <w:r>
        <w:rPr>
          <w:b/>
          <w:bCs/>
          <w:color w:val="1B3A57"/>
          <w:sz w:val="28"/>
          <w:szCs w:val="28"/>
        </w:rPr>
        <w:t xml:space="preserve">8.2 Livrables détaillés par phase</w:t>
      </w:r>
    </w:p>
    <w:p>
      <w:pPr>
        <w:pStyle w:val="Heading3"/>
        <w:spacing w:after="80" w:before="200"/>
      </w:pPr>
      <w:r>
        <w:rPr>
          <w:b/>
          <w:bCs/>
          <w:color w:val="E07B2C"/>
          <w:sz w:val="24"/>
          <w:szCs w:val="24"/>
        </w:rPr>
        <w:t xml:space="preserve">Phase 1 — Cadrage fonctionnel et architecture</w:t>
      </w:r>
    </w:p>
    <w:p>
      <w:pPr>
        <w:pStyle w:val="ListParagraph"/>
        <w:numPr>
          <w:ilvl w:val="0"/>
          <w:numId w:val="2"/>
        </w:numPr>
        <w:spacing w:after="30" w:before="30"/>
      </w:pPr>
      <w:r>
        <w:t xml:space="preserve">Spécifications fonctionnelles détaillées</w:t>
      </w:r>
    </w:p>
    <w:p>
      <w:pPr>
        <w:pStyle w:val="ListParagraph"/>
        <w:numPr>
          <w:ilvl w:val="0"/>
          <w:numId w:val="2"/>
        </w:numPr>
        <w:spacing w:after="30" w:before="30"/>
      </w:pPr>
      <w:r>
        <w:t xml:space="preserve">Architecture technique validée</w:t>
      </w:r>
    </w:p>
    <w:p>
      <w:pPr>
        <w:pStyle w:val="ListParagraph"/>
        <w:numPr>
          <w:ilvl w:val="0"/>
          <w:numId w:val="2"/>
        </w:numPr>
        <w:spacing w:after="30" w:before="30"/>
      </w:pPr>
      <w:r>
        <w:t xml:space="preserve">Backlog MVP priorisé</w:t>
      </w:r>
    </w:p>
    <w:p>
      <w:pPr>
        <w:pStyle w:val="ListParagraph"/>
        <w:numPr>
          <w:ilvl w:val="0"/>
          <w:numId w:val="2"/>
        </w:numPr>
        <w:spacing w:after="30" w:before="30"/>
      </w:pPr>
      <w:r>
        <w:t xml:space="preserve">Modèle de données complet</w:t>
      </w:r>
    </w:p>
    <w:p>
      <w:pPr>
        <w:pStyle w:val="ListParagraph"/>
        <w:numPr>
          <w:ilvl w:val="0"/>
          <w:numId w:val="2"/>
        </w:numPr>
        <w:spacing w:after="30" w:before="30"/>
      </w:pPr>
      <w:r>
        <w:t xml:space="preserve">21 décisions structurantes arbitrées (cf. annexe)</w:t>
      </w:r>
    </w:p>
    <w:p>
      <w:pPr>
        <w:pStyle w:val="ListParagraph"/>
        <w:numPr>
          <w:ilvl w:val="0"/>
          <w:numId w:val="2"/>
        </w:numPr>
        <w:spacing w:after="30" w:before="30"/>
      </w:pPr>
      <w:r>
        <w:t xml:space="preserve">Mémo « périmètre verrouillé » signé par les deux parties</w:t>
      </w:r>
    </w:p>
    <w:p>
      <w:pPr>
        <w:pStyle w:val="Heading3"/>
        <w:spacing w:after="80" w:before="200"/>
      </w:pPr>
      <w:r>
        <w:rPr>
          <w:b/>
          <w:bCs/>
          <w:color w:val="E07B2C"/>
          <w:sz w:val="24"/>
          <w:szCs w:val="24"/>
        </w:rPr>
        <w:t xml:space="preserve">Phase 2 — UX/UI et conception produit</w:t>
      </w:r>
    </w:p>
    <w:p>
      <w:pPr>
        <w:pStyle w:val="ListParagraph"/>
        <w:numPr>
          <w:ilvl w:val="0"/>
          <w:numId w:val="2"/>
        </w:numPr>
        <w:spacing w:after="30" w:before="30"/>
      </w:pPr>
      <w:r>
        <w:t xml:space="preserve">Design des parcours utilisateur (onboarding, réservation, paiement, accès)</w:t>
      </w:r>
    </w:p>
    <w:p>
      <w:pPr>
        <w:pStyle w:val="ListParagraph"/>
        <w:numPr>
          <w:ilvl w:val="0"/>
          <w:numId w:val="2"/>
        </w:numPr>
        <w:spacing w:after="30" w:before="30"/>
      </w:pPr>
      <w:r>
        <w:t xml:space="preserve">Design de l'interface utilisateur web et du back-office</w:t>
      </w:r>
    </w:p>
    <w:p>
      <w:pPr>
        <w:pStyle w:val="ListParagraph"/>
        <w:numPr>
          <w:ilvl w:val="0"/>
          <w:numId w:val="2"/>
        </w:numPr>
        <w:spacing w:after="30" w:before="30"/>
      </w:pPr>
      <w:r>
        <w:t xml:space="preserve">Validation des flows critiques</w:t>
      </w:r>
    </w:p>
    <w:p>
      <w:pPr>
        <w:pStyle w:val="ListParagraph"/>
        <w:numPr>
          <w:ilvl w:val="0"/>
          <w:numId w:val="2"/>
        </w:numPr>
        <w:spacing w:after="30" w:before="30"/>
      </w:pPr>
      <w:r>
        <w:t xml:space="preserve">Prototype Figma interactif et UI kit</w:t>
      </w:r>
    </w:p>
    <w:p>
      <w:pPr>
        <w:pStyle w:val="Heading3"/>
        <w:spacing w:after="80" w:before="200"/>
      </w:pPr>
      <w:r>
        <w:rPr>
          <w:b/>
          <w:bCs/>
          <w:color w:val="E07B2C"/>
          <w:sz w:val="24"/>
          <w:szCs w:val="24"/>
        </w:rPr>
        <w:t xml:space="preserve">Phase 3 — Développement de la plateforme</w:t>
      </w:r>
    </w:p>
    <w:p>
      <w:pPr>
        <w:pStyle w:val="ListParagraph"/>
        <w:numPr>
          <w:ilvl w:val="0"/>
          <w:numId w:val="2"/>
        </w:numPr>
        <w:spacing w:after="30" w:before="30"/>
      </w:pPr>
      <w:r>
        <w:t xml:space="preserve">Frontend utilisateur PWA</w:t>
      </w:r>
    </w:p>
    <w:p>
      <w:pPr>
        <w:pStyle w:val="ListParagraph"/>
        <w:numPr>
          <w:ilvl w:val="0"/>
          <w:numId w:val="2"/>
        </w:numPr>
        <w:spacing w:after="30" w:before="30"/>
      </w:pPr>
      <w:r>
        <w:t xml:space="preserve">Back-office d'administration</w:t>
      </w:r>
    </w:p>
    <w:p>
      <w:pPr>
        <w:pStyle w:val="ListParagraph"/>
        <w:numPr>
          <w:ilvl w:val="0"/>
          <w:numId w:val="2"/>
        </w:numPr>
        <w:spacing w:after="30" w:before="30"/>
      </w:pPr>
      <w:r>
        <w:t xml:space="preserve">API métier</w:t>
      </w:r>
    </w:p>
    <w:p>
      <w:pPr>
        <w:pStyle w:val="ListParagraph"/>
        <w:numPr>
          <w:ilvl w:val="0"/>
          <w:numId w:val="2"/>
        </w:numPr>
        <w:spacing w:after="30" w:before="30"/>
      </w:pPr>
      <w:r>
        <w:t xml:space="preserve">Intégration Stripe Payment Intents et Subscriptions</w:t>
      </w:r>
    </w:p>
    <w:p>
      <w:pPr>
        <w:pStyle w:val="ListParagraph"/>
        <w:numPr>
          <w:ilvl w:val="0"/>
          <w:numId w:val="2"/>
        </w:numPr>
        <w:spacing w:after="30" w:before="30"/>
      </w:pPr>
      <w:r>
        <w:t xml:space="preserve">Intégration Cloudflare R2</w:t>
      </w:r>
    </w:p>
    <w:p>
      <w:pPr>
        <w:pStyle w:val="ListParagraph"/>
        <w:numPr>
          <w:ilvl w:val="0"/>
          <w:numId w:val="2"/>
        </w:numPr>
        <w:spacing w:after="30" w:before="30"/>
      </w:pPr>
      <w:r>
        <w:t xml:space="preserve">Couche d'abstraction matérielle Kasier (avec mock pour développement)</w:t>
      </w:r>
    </w:p>
    <w:p>
      <w:pPr>
        <w:pStyle w:val="ListParagraph"/>
        <w:numPr>
          <w:ilvl w:val="0"/>
          <w:numId w:val="2"/>
        </w:numPr>
        <w:spacing w:after="30" w:before="30"/>
      </w:pPr>
      <w:r>
        <w:t xml:space="preserve">Module d'aide à la décision IA et scoring multi-signal</w:t>
      </w:r>
    </w:p>
    <w:p>
      <w:pPr>
        <w:pStyle w:val="ListParagraph"/>
        <w:numPr>
          <w:ilvl w:val="0"/>
          <w:numId w:val="2"/>
        </w:numPr>
        <w:spacing w:after="30" w:before="30"/>
      </w:pPr>
      <w:r>
        <w:t xml:space="preserve">Module de vente de consommables et gestion des stocks</w:t>
      </w:r>
    </w:p>
    <w:p>
      <w:pPr>
        <w:pStyle w:val="ListParagraph"/>
        <w:numPr>
          <w:ilvl w:val="0"/>
          <w:numId w:val="2"/>
        </w:numPr>
        <w:spacing w:after="30" w:before="30"/>
      </w:pPr>
      <w:r>
        <w:t xml:space="preserve">Module de packs multi-outils</w:t>
      </w:r>
    </w:p>
    <w:p>
      <w:pPr>
        <w:pStyle w:val="ListParagraph"/>
        <w:numPr>
          <w:ilvl w:val="0"/>
          <w:numId w:val="2"/>
        </w:numPr>
        <w:spacing w:after="30" w:before="30"/>
      </w:pPr>
      <w:r>
        <w:t xml:space="preserve">Module d'abonnement professionnel</w:t>
      </w:r>
    </w:p>
    <w:p>
      <w:pPr>
        <w:pStyle w:val="ListParagraph"/>
        <w:numPr>
          <w:ilvl w:val="0"/>
          <w:numId w:val="2"/>
        </w:numPr>
        <w:spacing w:after="30" w:before="30"/>
      </w:pPr>
      <w:r>
        <w:t xml:space="preserve">Plateforme fonctionnelle en environnement de pré-production</w:t>
      </w:r>
    </w:p>
    <w:p>
      <w:pPr>
        <w:pStyle w:val="Heading3"/>
        <w:spacing w:after="80" w:before="200"/>
      </w:pPr>
      <w:r>
        <w:rPr>
          <w:b/>
          <w:bCs/>
          <w:color w:val="E07B2C"/>
          <w:sz w:val="24"/>
          <w:szCs w:val="24"/>
        </w:rPr>
        <w:t xml:space="preserve">Phase 4 — Tests, stabilisation et pré-production</w:t>
      </w:r>
    </w:p>
    <w:p>
      <w:pPr>
        <w:pStyle w:val="ListParagraph"/>
        <w:numPr>
          <w:ilvl w:val="0"/>
          <w:numId w:val="2"/>
        </w:numPr>
        <w:spacing w:after="30" w:before="30"/>
      </w:pPr>
      <w:r>
        <w:t xml:space="preserve">Tests fonctionnels end-to-end</w:t>
      </w:r>
    </w:p>
    <w:p>
      <w:pPr>
        <w:pStyle w:val="ListParagraph"/>
        <w:numPr>
          <w:ilvl w:val="0"/>
          <w:numId w:val="2"/>
        </w:numPr>
        <w:spacing w:after="30" w:before="30"/>
      </w:pPr>
      <w:r>
        <w:t xml:space="preserve">Tests d'intégration Stripe et d'ouverture de casiers</w:t>
      </w:r>
    </w:p>
    <w:p>
      <w:pPr>
        <w:pStyle w:val="ListParagraph"/>
        <w:numPr>
          <w:ilvl w:val="0"/>
          <w:numId w:val="2"/>
        </w:numPr>
        <w:spacing w:after="30" w:before="30"/>
      </w:pPr>
      <w:r>
        <w:t xml:space="preserve">Correction des bugs et sécurisation des flux sensibles</w:t>
      </w:r>
    </w:p>
    <w:p>
      <w:pPr>
        <w:pStyle w:val="ListParagraph"/>
        <w:numPr>
          <w:ilvl w:val="0"/>
          <w:numId w:val="2"/>
        </w:numPr>
        <w:spacing w:after="30" w:before="30"/>
      </w:pPr>
      <w:r>
        <w:t xml:space="preserve">Test sur site pilote réel avec matériel installé</w:t>
      </w:r>
    </w:p>
    <w:p>
      <w:pPr>
        <w:pStyle w:val="ListParagraph"/>
        <w:numPr>
          <w:ilvl w:val="0"/>
          <w:numId w:val="2"/>
        </w:numPr>
        <w:spacing w:after="30" w:before="30"/>
      </w:pPr>
      <w:r>
        <w:t xml:space="preserve">Version production-ready validée</w:t>
      </w:r>
    </w:p>
    <w:p>
      <w:pPr>
        <w:pStyle w:val="Heading3"/>
        <w:spacing w:after="80" w:before="200"/>
      </w:pPr>
      <w:r>
        <w:rPr>
          <w:b/>
          <w:bCs/>
          <w:color w:val="E07B2C"/>
          <w:sz w:val="24"/>
          <w:szCs w:val="24"/>
        </w:rPr>
        <w:t xml:space="preserve">Phase 5 — Mise en production et GO LIVE</w:t>
      </w:r>
    </w:p>
    <w:p>
      <w:pPr>
        <w:pStyle w:val="ListParagraph"/>
        <w:numPr>
          <w:ilvl w:val="0"/>
          <w:numId w:val="2"/>
        </w:numPr>
        <w:spacing w:after="30" w:before="30"/>
      </w:pPr>
      <w:r>
        <w:t xml:space="preserve">Déploiement en production</w:t>
      </w:r>
    </w:p>
    <w:p>
      <w:pPr>
        <w:pStyle w:val="ListParagraph"/>
        <w:numPr>
          <w:ilvl w:val="0"/>
          <w:numId w:val="2"/>
        </w:numPr>
        <w:spacing w:after="30" w:before="30"/>
      </w:pPr>
      <w:r>
        <w:t xml:space="preserve">Activation du site pilote et mise en service des casiers</w:t>
      </w:r>
    </w:p>
    <w:p>
      <w:pPr>
        <w:pStyle w:val="ListParagraph"/>
        <w:numPr>
          <w:ilvl w:val="0"/>
          <w:numId w:val="2"/>
        </w:numPr>
        <w:spacing w:after="30" w:before="30"/>
      </w:pPr>
      <w:r>
        <w:t xml:space="preserve">Monitoring temps réel et corrections post-launch</w:t>
      </w:r>
    </w:p>
    <w:p>
      <w:pPr>
        <w:pStyle w:val="ListParagraph"/>
        <w:numPr>
          <w:ilvl w:val="0"/>
          <w:numId w:val="2"/>
        </w:numPr>
        <w:spacing w:after="30" w:before="30"/>
      </w:pPr>
      <w:r>
        <w:t xml:space="preserve">Premier site live et opérationnel</w:t>
      </w:r>
    </w:p>
    <w:p>
      <w:pPr>
        <w:pStyle w:val="ListParagraph"/>
        <w:numPr>
          <w:ilvl w:val="0"/>
          <w:numId w:val="2"/>
        </w:numPr>
        <w:spacing w:after="30" w:before="30"/>
      </w:pPr>
      <w:r>
        <w:t xml:space="preserve">Documentation technique de base et passation</w:t>
      </w:r>
    </w:p>
    <w:p>
      <w:pPr>
        <w:pStyle w:val="Heading1"/>
        <w:pageBreakBefore/>
      </w:pPr>
      <w:r>
        <w:rPr>
          <w:b/>
          <w:bCs/>
          <w:color w:val="1B3A57"/>
          <w:sz w:val="36"/>
          <w:szCs w:val="36"/>
        </w:rPr>
        <w:t xml:space="preserve">9. Critères d'acceptation et recette</w:t>
      </w:r>
    </w:p>
    <w:p>
      <w:pPr>
        <w:pStyle w:val="Heading2"/>
        <w:spacing w:after="120" w:before="240"/>
      </w:pPr>
      <w:r>
        <w:rPr>
          <w:b/>
          <w:bCs/>
          <w:color w:val="1B3A57"/>
          <w:sz w:val="28"/>
          <w:szCs w:val="28"/>
        </w:rPr>
        <w:t xml:space="preserve">9.1 Critères d'acceptation par domaine fonctionnel</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4526"/>
      </w:tblGrid>
      <w:tr>
        <w:trPr>
          <w:tblHeader/>
        </w:trPr>
        <w:tc>
          <w:tcPr>
            <w:tcW w:type="dxa" w:w="4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Domaine fonctionnel</w:t>
            </w:r>
          </w:p>
        </w:tc>
        <w:tc>
          <w:tcPr>
            <w:tcW w:type="dxa" w:w="45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Modalité de validation</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Parcours utilisateur outil unique de bout en bout</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 fonctionnel complet sur site pilote, casier réel</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Parcours utilisateur pack multi-outils</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Test fonctionnel d'un pack 3 outils sur site pilote</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Paiement et caution Stripe (pré-autorisation, capture, libération)</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 avec carte test puis carte réelle</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Souscription d'abonnement professionnel via Stripe Checkout</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Test de souscription, application du discount, résiliation</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Pilotage matériel Kasier (porte sas, casiers, capteurs)</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 sur dispositif physique installé</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Aide à la décision IA et workflow de validation par item</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Tests sur cas types représentatifs convenus avec le client</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Mode dégradé d'accès par PIN sans smartphone</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Parcours complet en mode PIN</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Notifications multi-canales (email, SMS, push)</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Vérification sur les principaux événements</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Back-office administrateur</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 fonctionnel par profil administrateur</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Vente de consommables et gestion de stock</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Test fonctionnel d'achat</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Génération de factures conformes et avoirs</w:t>
            </w:r>
          </w:p>
        </w:tc>
        <w:tc>
          <w:tcPr>
            <w:tcW w:type="dxa" w:w="4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Vérification mentions légales et numérotation séquentielle</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Aucune anomalie bloquante (P1) ouverte</w:t>
            </w:r>
          </w:p>
        </w:tc>
        <w:tc>
          <w:tcPr>
            <w:tcW w:type="dxa" w:w="4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Liste des anomalies arrêtée à la recette</w:t>
            </w:r>
          </w:p>
        </w:tc>
      </w:tr>
    </w:tbl>
    <w:p>
      <w:pPr>
        <w:pStyle w:val="Heading2"/>
        <w:spacing w:after="120" w:before="240"/>
      </w:pPr>
      <w:r>
        <w:rPr>
          <w:b/>
          <w:bCs/>
          <w:color w:val="1B3A57"/>
          <w:sz w:val="28"/>
          <w:szCs w:val="28"/>
        </w:rPr>
        <w:t xml:space="preserve">9.2 Procédure de recette</w:t>
      </w:r>
    </w:p>
    <w:p>
      <w:pPr>
        <w:spacing w:after="80" w:before="80"/>
      </w:pPr>
      <w:r>
        <w:rPr>
          <w:b w:val="false"/>
          <w:bCs w:val="false"/>
          <w:i w:val="false"/>
          <w:iCs w:val="false"/>
          <w:color w:val="000000"/>
          <w:sz w:val="22"/>
          <w:szCs w:val="22"/>
        </w:rPr>
        <w:t xml:space="preserve">La recette se déroule sur 5 jours ouvrés à compter de la mise à disposition de la version production-ready. Les anomalies sont consignées dans un tableau partagé et qualifiées par criticité :</w:t>
      </w:r>
    </w:p>
    <w:p>
      <w:pPr>
        <w:pStyle w:val="ListParagraph"/>
        <w:numPr>
          <w:ilvl w:val="0"/>
          <w:numId w:val="2"/>
        </w:numPr>
        <w:spacing w:after="30" w:before="30"/>
      </w:pPr>
      <w:r>
        <w:t xml:space="preserve">Anomalies P1 (critiques) : corrigées avant la mise en production</w:t>
      </w:r>
    </w:p>
    <w:p>
      <w:pPr>
        <w:pStyle w:val="ListParagraph"/>
        <w:numPr>
          <w:ilvl w:val="0"/>
          <w:numId w:val="2"/>
        </w:numPr>
        <w:spacing w:after="30" w:before="30"/>
      </w:pPr>
      <w:r>
        <w:t xml:space="preserve">Anomalies P2 (majeures) : prises en charge au titre de la garantie post-livraison</w:t>
      </w:r>
    </w:p>
    <w:p>
      <w:pPr>
        <w:pStyle w:val="ListParagraph"/>
        <w:numPr>
          <w:ilvl w:val="0"/>
          <w:numId w:val="2"/>
        </w:numPr>
        <w:spacing w:after="30" w:before="30"/>
      </w:pPr>
      <w:r>
        <w:t xml:space="preserve">Anomalies P3 (mineures) : prises en charge au titre de la garantie post-livraison</w:t>
      </w:r>
    </w:p>
    <w:p>
      <w:pPr>
        <w:spacing w:after="80" w:before="80"/>
      </w:pPr>
      <w:r>
        <w:rPr>
          <w:b w:val="false"/>
          <w:bCs w:val="false"/>
          <w:i w:val="false"/>
          <w:iCs w:val="false"/>
          <w:color w:val="000000"/>
          <w:sz w:val="22"/>
          <w:szCs w:val="22"/>
        </w:rPr>
        <w:t xml:space="preserve">La livraison est réputée acceptée à la mise en production effective sans anomalie P1, ou à l'expiration du délai de recette sans retour formel du maître d'ouvrage. Le paiement de la dernière échéance est dû à cette date.</w:t>
      </w:r>
    </w:p>
    <w:p>
      <w:pPr>
        <w:pStyle w:val="Heading1"/>
        <w:pageBreakBefore/>
      </w:pPr>
      <w:r>
        <w:rPr>
          <w:b/>
          <w:bCs/>
          <w:color w:val="1B3A57"/>
          <w:sz w:val="36"/>
          <w:szCs w:val="36"/>
        </w:rPr>
        <w:t xml:space="preserve">10. Conditions financières</w:t>
      </w:r>
    </w:p>
    <w:p>
      <w:pPr>
        <w:pStyle w:val="Heading2"/>
        <w:spacing w:after="120" w:before="240"/>
      </w:pPr>
      <w:r>
        <w:rPr>
          <w:b/>
          <w:bCs/>
          <w:color w:val="1B3A57"/>
          <w:sz w:val="28"/>
          <w:szCs w:val="28"/>
        </w:rPr>
        <w:t xml:space="preserve">10.1 Montant total de la prestation</w:t>
      </w:r>
    </w:p>
    <w:p>
      <w:pPr>
        <w:spacing w:after="80" w:before="80"/>
      </w:pPr>
      <w:r>
        <w:rPr>
          <w:b w:val="false"/>
          <w:bCs w:val="false"/>
          <w:i w:val="false"/>
          <w:iCs w:val="false"/>
          <w:color w:val="000000"/>
          <w:sz w:val="22"/>
          <w:szCs w:val="22"/>
        </w:rPr>
        <w:t xml:space="preserve">Le montant total de la prestation décrite dans le présent cahier des charges, conformément au devis D-2026-003, est de :</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1B3A57"/>
                <w:sz w:val="28"/>
                <w:szCs w:val="28"/>
              </w:rPr>
              <w:t xml:space="preserve">Montant HT</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1B3A57"/>
                <w:sz w:val="28"/>
                <w:szCs w:val="28"/>
              </w:rPr>
              <w:t xml:space="preserve">6 083,33 €</w:t>
            </w:r>
          </w:p>
        </w:tc>
      </w:tr>
      <w:tr>
        <w:tc>
          <w:tcPr>
            <w:tcW w:type="dxa" w:w="4513"/>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22"/>
                <w:szCs w:val="22"/>
              </w:rPr>
              <w:t xml:space="preserve">TVA (20%)</w:t>
            </w:r>
          </w:p>
        </w:tc>
        <w:tc>
          <w:tcPr>
            <w:tcW w:type="dxa" w:w="4513"/>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22"/>
                <w:szCs w:val="22"/>
              </w:rPr>
              <w:t xml:space="preserve">1 216,67 €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28"/>
                <w:szCs w:val="28"/>
              </w:rPr>
              <w:t xml:space="preserve">Montant TTC</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28"/>
                <w:szCs w:val="28"/>
              </w:rPr>
              <w:t xml:space="preserve">7 300,00 €</w:t>
            </w:r>
          </w:p>
        </w:tc>
      </w:tr>
    </w:tbl>
    <w:p>
      <w:pPr>
        <w:pStyle w:val="Heading2"/>
        <w:spacing w:after="120" w:before="240"/>
      </w:pPr>
      <w:r>
        <w:rPr>
          <w:b/>
          <w:bCs/>
          <w:color w:val="1B3A57"/>
          <w:sz w:val="28"/>
          <w:szCs w:val="28"/>
        </w:rPr>
        <w:t xml:space="preserve">10.2 Échéancier de paiement</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526"/>
      </w:tblGrid>
      <w:tr>
        <w:trPr>
          <w:tblHeader/>
        </w:trPr>
        <w:tc>
          <w:tcPr>
            <w:tcW w:type="dxa" w:w="4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Étape</w:t>
            </w:r>
          </w:p>
        </w:tc>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HT</w:t>
            </w:r>
          </w:p>
        </w:tc>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TTC</w:t>
            </w:r>
          </w:p>
        </w:tc>
        <w:tc>
          <w:tcPr>
            <w:tcW w:type="dxa" w:w="15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Signature du présent cahier des charges (lancement)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833,33 €</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1 000,00 €</w:t>
            </w:r>
          </w:p>
        </w:tc>
        <w:tc>
          <w:tcPr>
            <w:tcW w:type="dxa" w:w="1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13,7 %</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Validation des spécifications (fin Phase 1)</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991,67 €</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1 190,00 €</w:t>
            </w:r>
          </w:p>
        </w:tc>
        <w:tc>
          <w:tcPr>
            <w:tcW w:type="dxa" w:w="1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16,3 %</w:t>
            </w:r>
          </w:p>
        </w:tc>
      </w:tr>
      <w:tr>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En cours de développement (fin Phase 3)</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1 825,00 €</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2 190,00 €</w:t>
            </w:r>
          </w:p>
        </w:tc>
        <w:tc>
          <w:tcPr>
            <w:tcW w:type="dxa" w:w="1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19"/>
                <w:szCs w:val="19"/>
              </w:rPr>
              <w:t xml:space="preserve">30 %</w:t>
            </w:r>
          </w:p>
        </w:tc>
      </w:tr>
      <w:tr>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Livraison finale (recette acceptée)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2 433,33 €</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2 920,00 €</w:t>
            </w:r>
          </w:p>
        </w:tc>
        <w:tc>
          <w:tcPr>
            <w:tcW w:type="dxa" w:w="1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val="false"/>
                <w:bCs w:val="false"/>
                <w:color w:val="000000"/>
                <w:sz w:val="19"/>
                <w:szCs w:val="19"/>
              </w:rPr>
              <w:t xml:space="preserve">40 %</w:t>
            </w:r>
          </w:p>
        </w:tc>
      </w:tr>
      <w:tr>
        <w:tc>
          <w:tcPr>
            <w:tcW w:type="dxa" w:w="4500"/>
            <w:tcBorders>
              <w:top w:val="single" w:color="CCCCCC" w:sz="4"/>
              <w:left w:val="single" w:color="CCCCCC" w:sz="4"/>
              <w:bottom w:val="single" w:color="CCCCCC" w:sz="4"/>
              <w:right w:val="single" w:color="CCCCCC" w:sz="4"/>
            </w:tcBorders>
            <w:shd w:fill="FFE9D5" w:val="clear"/>
            <w:tcMar>
              <w:top w:type="dxa" w:w="100"/>
              <w:left w:type="dxa" w:w="140"/>
              <w:bottom w:type="dxa" w:w="100"/>
              <w:right w:type="dxa" w:w="140"/>
            </w:tcMar>
          </w:tcPr>
          <w:p>
            <w:pPr>
              <w:jc w:val="left"/>
            </w:pPr>
            <w:r>
              <w:rPr>
                <w:b/>
                <w:bCs/>
                <w:color w:val="000000"/>
                <w:sz w:val="19"/>
                <w:szCs w:val="19"/>
              </w:rPr>
              <w:t xml:space="preserve">TOTAL</w:t>
            </w:r>
          </w:p>
        </w:tc>
        <w:tc>
          <w:tcPr>
            <w:tcW w:type="dxa" w:w="1500"/>
            <w:tcBorders>
              <w:top w:val="single" w:color="CCCCCC" w:sz="4"/>
              <w:left w:val="single" w:color="CCCCCC" w:sz="4"/>
              <w:bottom w:val="single" w:color="CCCCCC" w:sz="4"/>
              <w:right w:val="single" w:color="CCCCCC" w:sz="4"/>
            </w:tcBorders>
            <w:shd w:fill="FFE9D5" w:val="clear"/>
            <w:tcMar>
              <w:top w:type="dxa" w:w="100"/>
              <w:left w:type="dxa" w:w="140"/>
              <w:bottom w:type="dxa" w:w="100"/>
              <w:right w:type="dxa" w:w="140"/>
            </w:tcMar>
          </w:tcPr>
          <w:p>
            <w:pPr>
              <w:jc w:val="center"/>
            </w:pPr>
            <w:r>
              <w:rPr>
                <w:b/>
                <w:bCs/>
                <w:color w:val="000000"/>
                <w:sz w:val="19"/>
                <w:szCs w:val="19"/>
              </w:rPr>
              <w:t xml:space="preserve">6 083,33 €</w:t>
            </w:r>
          </w:p>
        </w:tc>
        <w:tc>
          <w:tcPr>
            <w:tcW w:type="dxa" w:w="1500"/>
            <w:tcBorders>
              <w:top w:val="single" w:color="CCCCCC" w:sz="4"/>
              <w:left w:val="single" w:color="CCCCCC" w:sz="4"/>
              <w:bottom w:val="single" w:color="CCCCCC" w:sz="4"/>
              <w:right w:val="single" w:color="CCCCCC" w:sz="4"/>
            </w:tcBorders>
            <w:shd w:fill="FFE9D5" w:val="clear"/>
            <w:tcMar>
              <w:top w:type="dxa" w:w="100"/>
              <w:left w:type="dxa" w:w="140"/>
              <w:bottom w:type="dxa" w:w="100"/>
              <w:right w:type="dxa" w:w="140"/>
            </w:tcMar>
          </w:tcPr>
          <w:p>
            <w:pPr>
              <w:jc w:val="center"/>
            </w:pPr>
            <w:r>
              <w:rPr>
                <w:b/>
                <w:bCs/>
                <w:color w:val="000000"/>
                <w:sz w:val="19"/>
                <w:szCs w:val="19"/>
              </w:rPr>
              <w:t xml:space="preserve">7 300,00 €</w:t>
            </w:r>
          </w:p>
        </w:tc>
        <w:tc>
          <w:tcPr>
            <w:tcW w:type="dxa" w:w="1526"/>
            <w:tcBorders>
              <w:top w:val="single" w:color="CCCCCC" w:sz="4"/>
              <w:left w:val="single" w:color="CCCCCC" w:sz="4"/>
              <w:bottom w:val="single" w:color="CCCCCC" w:sz="4"/>
              <w:right w:val="single" w:color="CCCCCC" w:sz="4"/>
            </w:tcBorders>
            <w:shd w:fill="FFE9D5" w:val="clear"/>
            <w:tcMar>
              <w:top w:type="dxa" w:w="100"/>
              <w:left w:type="dxa" w:w="140"/>
              <w:bottom w:type="dxa" w:w="100"/>
              <w:right w:type="dxa" w:w="140"/>
            </w:tcMar>
          </w:tcPr>
          <w:p>
            <w:pPr>
              <w:jc w:val="center"/>
            </w:pPr>
            <w:r>
              <w:rPr>
                <w:b/>
                <w:bCs/>
                <w:color w:val="000000"/>
                <w:sz w:val="19"/>
                <w:szCs w:val="19"/>
              </w:rPr>
              <w:t xml:space="preserve">100 %</w:t>
            </w:r>
          </w:p>
        </w:tc>
      </w:tr>
    </w:tbl>
    <w:p>
      <w:pPr>
        <w:pStyle w:val="Heading2"/>
        <w:spacing w:after="120" w:before="240"/>
      </w:pPr>
      <w:r>
        <w:rPr>
          <w:b/>
          <w:bCs/>
          <w:color w:val="1B3A57"/>
          <w:sz w:val="28"/>
          <w:szCs w:val="28"/>
        </w:rPr>
        <w:t xml:space="preserve">10.3 Conditions de règlement</w:t>
      </w:r>
    </w:p>
    <w:p>
      <w:pPr>
        <w:pStyle w:val="ListParagraph"/>
        <w:numPr>
          <w:ilvl w:val="0"/>
          <w:numId w:val="2"/>
        </w:numPr>
        <w:spacing w:after="30" w:before="30"/>
      </w:pPr>
      <w:r>
        <w:t xml:space="preserve">Facturation à chaque jalon validé</w:t>
      </w:r>
    </w:p>
    <w:p>
      <w:pPr>
        <w:pStyle w:val="ListParagraph"/>
        <w:numPr>
          <w:ilvl w:val="0"/>
          <w:numId w:val="2"/>
        </w:numPr>
        <w:spacing w:after="30" w:before="30"/>
      </w:pPr>
      <w:r>
        <w:t xml:space="preserve">Délai de paiement : 15 jours nets à compter de l'émission de la facture</w:t>
      </w:r>
    </w:p>
    <w:p>
      <w:pPr>
        <w:pStyle w:val="ListParagraph"/>
        <w:numPr>
          <w:ilvl w:val="0"/>
          <w:numId w:val="2"/>
        </w:numPr>
        <w:spacing w:after="30" w:before="30"/>
      </w:pPr>
      <w:r>
        <w:t xml:space="preserve">Règlement par virement bancaire</w:t>
      </w:r>
    </w:p>
    <w:p>
      <w:pPr>
        <w:pStyle w:val="ListParagraph"/>
        <w:numPr>
          <w:ilvl w:val="0"/>
          <w:numId w:val="2"/>
        </w:numPr>
        <w:spacing w:after="30" w:before="30"/>
      </w:pPr>
      <w:r>
        <w:t xml:space="preserve">En cas de retard de paiement, application des pénalités légales en vigueur</w:t>
      </w:r>
    </w:p>
    <w:p>
      <w:pPr>
        <w:pStyle w:val="Heading2"/>
        <w:spacing w:after="120" w:before="240"/>
      </w:pPr>
      <w:r>
        <w:rPr>
          <w:b/>
          <w:bCs/>
          <w:color w:val="1B3A57"/>
          <w:sz w:val="28"/>
          <w:szCs w:val="28"/>
        </w:rPr>
        <w:t xml:space="preserve">10.4 Coûts récurrents d'exploitation</w:t>
      </w:r>
    </w:p>
    <w:p>
      <w:pPr>
        <w:spacing w:after="80" w:before="80"/>
      </w:pPr>
      <w:r>
        <w:rPr>
          <w:b w:val="false"/>
          <w:bCs w:val="false"/>
          <w:i w:val="false"/>
          <w:iCs w:val="false"/>
          <w:color w:val="000000"/>
          <w:sz w:val="22"/>
          <w:szCs w:val="22"/>
        </w:rPr>
        <w:t xml:space="preserve">Les services techniques tiers nécessaires au fonctionnement de la plateforme sont contractualisés directement au nom de Toolbox24 (CSHM Groupe) et facturés à la société. Estimation indicative : 315 à 540 € HT par mois pour le pilote, hors frais Stripe par transaction. La liste détaillée est fournie dans le document de cadrage en annexe.</w:t>
      </w:r>
    </w:p>
    <w:p>
      <w:pPr>
        <w:spacing w:after="80" w:before="80"/>
      </w:pPr>
      <w:r>
        <w:rPr>
          <w:b w:val="false"/>
          <w:bCs w:val="false"/>
          <w:i w:val="false"/>
          <w:iCs w:val="false"/>
          <w:color w:val="000000"/>
          <w:sz w:val="22"/>
          <w:szCs w:val="22"/>
        </w:rPr>
        <w:t xml:space="preserve">Le forfait de maintenance applicative post-livraison (200 ou 250 € HT par mois selon formule retenue) fait l'objet d'un avenant séparé, à signer avant la mise en production.</w:t>
      </w:r>
    </w:p>
    <w:p>
      <w:pPr>
        <w:pStyle w:val="Heading1"/>
        <w:pageBreakBefore/>
      </w:pPr>
      <w:r>
        <w:rPr>
          <w:b/>
          <w:bCs/>
          <w:color w:val="1B3A57"/>
          <w:sz w:val="36"/>
          <w:szCs w:val="36"/>
        </w:rPr>
        <w:t xml:space="preserve">11. Gouvernance et modalités de suivi</w:t>
      </w:r>
    </w:p>
    <w:p>
      <w:pPr>
        <w:pStyle w:val="Heading2"/>
        <w:spacing w:after="120" w:before="240"/>
      </w:pPr>
      <w:r>
        <w:rPr>
          <w:b/>
          <w:bCs/>
          <w:color w:val="1B3A57"/>
          <w:sz w:val="28"/>
          <w:szCs w:val="28"/>
        </w:rPr>
        <w:t xml:space="preserve">11.1 Interlocuteurs</w:t>
      </w:r>
    </w:p>
    <w:p>
      <w:pPr>
        <w:pStyle w:val="ListParagraph"/>
        <w:numPr>
          <w:ilvl w:val="0"/>
          <w:numId w:val="2"/>
        </w:numPr>
        <w:spacing w:after="30" w:before="30"/>
      </w:pPr>
      <w:r>
        <w:rPr>
          <w:b/>
          <w:bCs/>
        </w:rPr>
        <w:t xml:space="preserve">Côté maître d'ouvrage : </w:t>
      </w:r>
      <w:r>
        <w:t xml:space="preserve">Cédric Thibaudet, décisionnaire unique</w:t>
      </w:r>
    </w:p>
    <w:p>
      <w:pPr>
        <w:pStyle w:val="ListParagraph"/>
        <w:numPr>
          <w:ilvl w:val="0"/>
          <w:numId w:val="2"/>
        </w:numPr>
        <w:spacing w:after="30" w:before="30"/>
      </w:pPr>
      <w:r>
        <w:rPr>
          <w:b/>
          <w:bCs/>
        </w:rPr>
        <w:t xml:space="preserve">Côté maître d'œuvre : </w:t>
      </w:r>
      <w:r>
        <w:t xml:space="preserve">Guillaume Boudon, chef de projet et interlocuteur principal</w:t>
      </w:r>
    </w:p>
    <w:p>
      <w:pPr>
        <w:pStyle w:val="Heading2"/>
        <w:spacing w:after="120" w:before="240"/>
      </w:pPr>
      <w:r>
        <w:rPr>
          <w:b/>
          <w:bCs/>
          <w:color w:val="1B3A57"/>
          <w:sz w:val="28"/>
          <w:szCs w:val="28"/>
        </w:rPr>
        <w:t xml:space="preserve">11.2 Rituels de suivi</w:t>
      </w:r>
    </w:p>
    <w:p>
      <w:pPr>
        <w:pStyle w:val="ListParagraph"/>
        <w:numPr>
          <w:ilvl w:val="0"/>
          <w:numId w:val="2"/>
        </w:numPr>
        <w:spacing w:after="30" w:before="30"/>
      </w:pPr>
      <w:r>
        <w:t xml:space="preserve">Réunions de suivi en visioconférence à fréquence à convenir (typiquement hebdomadaire en Phase 3)</w:t>
      </w:r>
    </w:p>
    <w:p>
      <w:pPr>
        <w:pStyle w:val="ListParagraph"/>
        <w:numPr>
          <w:ilvl w:val="0"/>
          <w:numId w:val="2"/>
        </w:numPr>
        <w:spacing w:after="30" w:before="30"/>
      </w:pPr>
      <w:r>
        <w:t xml:space="preserve">Démonstration de fin de phase avec validation formelle des livrables</w:t>
      </w:r>
    </w:p>
    <w:p>
      <w:pPr>
        <w:pStyle w:val="ListParagraph"/>
        <w:numPr>
          <w:ilvl w:val="0"/>
          <w:numId w:val="2"/>
        </w:numPr>
        <w:spacing w:after="30" w:before="30"/>
      </w:pPr>
      <w:r>
        <w:t xml:space="preserve">Échanges asynchrones par email, drive et téléphone entre les rituels</w:t>
      </w:r>
    </w:p>
    <w:p>
      <w:pPr>
        <w:pStyle w:val="Heading2"/>
        <w:spacing w:after="120" w:before="240"/>
      </w:pPr>
      <w:r>
        <w:rPr>
          <w:b/>
          <w:bCs/>
          <w:color w:val="1B3A57"/>
          <w:sz w:val="28"/>
          <w:szCs w:val="28"/>
        </w:rPr>
        <w:t xml:space="preserve">11.3 Gestion du changement</w:t>
      </w:r>
    </w:p>
    <w:p>
      <w:pPr>
        <w:spacing w:after="80" w:before="80"/>
      </w:pPr>
      <w:r>
        <w:rPr>
          <w:b w:val="false"/>
          <w:bCs w:val="false"/>
          <w:i w:val="false"/>
          <w:iCs w:val="false"/>
          <w:color w:val="000000"/>
          <w:sz w:val="22"/>
          <w:szCs w:val="22"/>
        </w:rPr>
        <w:t xml:space="preserve">Toute modification du périmètre validé en Phase 1 fait l'objet d'une fiche de changement écrite précisant l'impact sur le délai et le coût. La modification n'est mise en œuvre qu'après acceptation écrite du maître d'ouvrage. Aucune modification verbale n'est opposable.</w:t>
      </w:r>
    </w:p>
    <w:p>
      <w:pPr>
        <w:pStyle w:val="Heading2"/>
        <w:spacing w:after="120" w:before="240"/>
      </w:pPr>
      <w:r>
        <w:rPr>
          <w:b/>
          <w:bCs/>
          <w:color w:val="1B3A57"/>
          <w:sz w:val="28"/>
          <w:szCs w:val="28"/>
        </w:rPr>
        <w:t xml:space="preserve">11.4 Reporting d'avancement</w:t>
      </w:r>
    </w:p>
    <w:p>
      <w:pPr>
        <w:spacing w:after="80" w:before="80"/>
      </w:pPr>
      <w:r>
        <w:rPr>
          <w:b w:val="false"/>
          <w:bCs w:val="false"/>
          <w:i w:val="false"/>
          <w:iCs w:val="false"/>
          <w:color w:val="000000"/>
          <w:sz w:val="22"/>
          <w:szCs w:val="22"/>
        </w:rPr>
        <w:t xml:space="preserve">Le maître d'œuvre tient à jour un tableau de suivi partagé indiquant l'état d'avancement par module, les anomalies en cours, les livrables produits et les décisions en attente.</w:t>
      </w:r>
    </w:p>
    <w:p>
      <w:pPr>
        <w:pStyle w:val="Heading1"/>
        <w:pageBreakBefore/>
      </w:pPr>
      <w:r>
        <w:rPr>
          <w:b/>
          <w:bCs/>
          <w:color w:val="1B3A57"/>
          <w:sz w:val="36"/>
          <w:szCs w:val="36"/>
        </w:rPr>
        <w:t xml:space="preserve">12. Maintenance et garantie</w:t>
      </w:r>
    </w:p>
    <w:p>
      <w:pPr>
        <w:pStyle w:val="Heading2"/>
        <w:spacing w:after="120" w:before="240"/>
      </w:pPr>
      <w:r>
        <w:rPr>
          <w:b/>
          <w:bCs/>
          <w:color w:val="1B3A57"/>
          <w:sz w:val="28"/>
          <w:szCs w:val="28"/>
        </w:rPr>
        <w:t xml:space="preserve">12.1 Garantie de bon fonctionnement (3 mois)</w:t>
      </w:r>
    </w:p>
    <w:p>
      <w:pPr>
        <w:spacing w:after="80" w:before="80"/>
      </w:pPr>
      <w:r>
        <w:rPr>
          <w:b w:val="false"/>
          <w:bCs w:val="false"/>
          <w:i w:val="false"/>
          <w:iCs w:val="false"/>
          <w:color w:val="000000"/>
          <w:sz w:val="22"/>
          <w:szCs w:val="22"/>
        </w:rPr>
        <w:t xml:space="preserve">Pendant les trois mois suivant la livraison, toutes les anomalies imputables au prestataire et reproduites en environnement de production sont corrigées sans surcoût. Cette garantie ne couvre pas :</w:t>
      </w:r>
    </w:p>
    <w:p>
      <w:pPr>
        <w:pStyle w:val="ListParagraph"/>
        <w:numPr>
          <w:ilvl w:val="0"/>
          <w:numId w:val="2"/>
        </w:numPr>
        <w:spacing w:after="30" w:before="30"/>
      </w:pPr>
      <w:r>
        <w:t xml:space="preserve">Les évolutions et nouvelles fonctionnalités</w:t>
      </w:r>
    </w:p>
    <w:p>
      <w:pPr>
        <w:pStyle w:val="ListParagraph"/>
        <w:numPr>
          <w:ilvl w:val="0"/>
          <w:numId w:val="2"/>
        </w:numPr>
        <w:spacing w:after="30" w:before="30"/>
      </w:pPr>
      <w:r>
        <w:t xml:space="preserve">Les anomalies liées à des modifications réalisées par un tiers</w:t>
      </w:r>
    </w:p>
    <w:p>
      <w:pPr>
        <w:pStyle w:val="ListParagraph"/>
        <w:numPr>
          <w:ilvl w:val="0"/>
          <w:numId w:val="2"/>
        </w:numPr>
        <w:spacing w:after="30" w:before="30"/>
      </w:pPr>
      <w:r>
        <w:t xml:space="preserve">Les indisponibilités d'un service externe (Stripe, Kasier, Supabase, hébergeur)</w:t>
      </w:r>
    </w:p>
    <w:p>
      <w:pPr>
        <w:pStyle w:val="Heading2"/>
        <w:spacing w:after="120" w:before="240"/>
      </w:pPr>
      <w:r>
        <w:rPr>
          <w:b/>
          <w:bCs/>
          <w:color w:val="1B3A57"/>
          <w:sz w:val="28"/>
          <w:szCs w:val="28"/>
        </w:rPr>
        <w:t xml:space="preserve">12.2 Forfait maintenance applicative (avenant séparé)</w:t>
      </w:r>
    </w:p>
    <w:p>
      <w:pPr>
        <w:spacing w:after="80" w:before="80"/>
      </w:pPr>
      <w:r>
        <w:rPr>
          <w:b w:val="false"/>
          <w:bCs w:val="false"/>
          <w:i w:val="false"/>
          <w:iCs w:val="false"/>
          <w:color w:val="000000"/>
          <w:sz w:val="22"/>
          <w:szCs w:val="22"/>
        </w:rPr>
        <w:t xml:space="preserve">À l'issue de la période de garantie de trois mois, un forfait de maintenance applicative est proposé sous forme d'avenant signé avant la mise en production :</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526"/>
      </w:tblGrid>
      <w:tr>
        <w:trPr>
          <w:tblHeader/>
        </w:trPr>
        <w:tc>
          <w:tcPr>
            <w:tcW w:type="dxa" w:w="30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Formule</w:t>
            </w:r>
          </w:p>
        </w:tc>
        <w:tc>
          <w:tcPr>
            <w:tcW w:type="dxa" w:w="2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Tarif mensuel</w:t>
            </w:r>
          </w:p>
        </w:tc>
        <w:tc>
          <w:tcPr>
            <w:tcW w:type="dxa" w:w="35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Périmètre</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Forfait de base</w:t>
            </w:r>
          </w:p>
        </w:tc>
        <w:tc>
          <w:tcPr>
            <w:tcW w:type="dxa" w:w="2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200 € HT</w:t>
            </w:r>
          </w:p>
        </w:tc>
        <w:tc>
          <w:tcPr>
            <w:tcW w:type="dxa" w:w="35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Correction des bugs, MCO, support technique, monitoring, surveillance fonctionnelle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Forfait étendu (recommandé)</w:t>
            </w:r>
          </w:p>
        </w:tc>
        <w:tc>
          <w:tcPr>
            <w:tcW w:type="dxa" w:w="2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250 € HT</w:t>
            </w:r>
          </w:p>
        </w:tc>
        <w:tc>
          <w:tcPr>
            <w:tcW w:type="dxa" w:w="35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Tout le forfait de base + petites évolutions à hauteur indicative de 4h/mois en moyenne, sur accord conjoint</w:t>
            </w:r>
          </w:p>
        </w:tc>
      </w:tr>
    </w:tbl>
    <w:p>
      <w:pPr>
        <w:pStyle w:val="Heading2"/>
        <w:spacing w:after="120" w:before="240"/>
      </w:pPr>
      <w:r>
        <w:rPr>
          <w:b/>
          <w:bCs/>
          <w:color w:val="1B3A57"/>
          <w:sz w:val="28"/>
          <w:szCs w:val="28"/>
        </w:rPr>
        <w:t xml:space="preserve">12.3 Délais de prise en charge des incidents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4500"/>
        <w:gridCol w:w="2326"/>
      </w:tblGrid>
      <w:tr>
        <w:trPr>
          <w:tblHeader/>
        </w:trPr>
        <w:tc>
          <w:tcPr>
            <w:tcW w:type="dxa" w:w="22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Criticité</w:t>
            </w:r>
          </w:p>
        </w:tc>
        <w:tc>
          <w:tcPr>
            <w:tcW w:type="dxa" w:w="4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Définition</w:t>
            </w:r>
          </w:p>
        </w:tc>
        <w:tc>
          <w:tcPr>
            <w:tcW w:type="dxa" w:w="23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Délai de prise en charge</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C62828"/>
                <w:sz w:val="19"/>
                <w:szCs w:val="19"/>
              </w:rPr>
              <w:t xml:space="preserve">P1 — Critique</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Service indisponible, paiement bloqué, casiers ne s'ouvrent plus</w:t>
            </w:r>
          </w:p>
        </w:tc>
        <w:tc>
          <w:tcPr>
            <w:tcW w:type="dxa" w:w="23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Sous 6 h ouvrées</w:t>
            </w:r>
          </w:p>
        </w:tc>
      </w:tr>
      <w:tr>
        <w:tc>
          <w:tcPr>
            <w:tcW w:type="dxa" w:w="22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C62828"/>
                <w:sz w:val="19"/>
                <w:szCs w:val="19"/>
              </w:rPr>
              <w:t xml:space="preserve">P2 — Majeure</w:t>
            </w:r>
          </w:p>
        </w:tc>
        <w:tc>
          <w:tcPr>
            <w:tcW w:type="dxa" w:w="4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Fonctionnalité majeure dégradée, contournement possible</w:t>
            </w:r>
          </w:p>
        </w:tc>
        <w:tc>
          <w:tcPr>
            <w:tcW w:type="dxa" w:w="23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bCs/>
                <w:color w:val="000000"/>
                <w:sz w:val="19"/>
                <w:szCs w:val="19"/>
              </w:rPr>
              <w:t xml:space="preserve">Sous 24 h ouvrées</w:t>
            </w:r>
          </w:p>
        </w:tc>
      </w:tr>
      <w:tr>
        <w:tc>
          <w:tcPr>
            <w:tcW w:type="dxa" w:w="22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C62828"/>
                <w:sz w:val="19"/>
                <w:szCs w:val="19"/>
              </w:rPr>
              <w:t xml:space="preserve">P3 — Mineure</w:t>
            </w:r>
          </w:p>
        </w:tc>
        <w:tc>
          <w:tcPr>
            <w:tcW w:type="dxa" w:w="4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Anomalie sans impact bloquant</w:t>
            </w:r>
          </w:p>
        </w:tc>
        <w:tc>
          <w:tcPr>
            <w:tcW w:type="dxa" w:w="23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bCs/>
                <w:color w:val="000000"/>
                <w:sz w:val="19"/>
                <w:szCs w:val="19"/>
              </w:rPr>
              <w:t xml:space="preserve">Sous 5 jours ouvrés</w:t>
            </w:r>
          </w:p>
        </w:tc>
      </w:tr>
    </w:tbl>
    <w:p>
      <w:pPr>
        <w:spacing w:after="80" w:before="80"/>
      </w:pPr>
      <w:r>
        <w:rPr>
          <w:b w:val="false"/>
          <w:bCs w:val="false"/>
          <w:i w:val="false"/>
          <w:iCs w:val="false"/>
          <w:color w:val="000000"/>
          <w:sz w:val="22"/>
          <w:szCs w:val="22"/>
        </w:rPr>
        <w:t xml:space="preserve">Heures ouvrées : du lundi au vendredi de 9h à 18h, hors jours fériés français. Les délais correspondent à la prise en charge du ticket et non à la résolution complète.</w:t>
      </w:r>
    </w:p>
    <w:p>
      <w:pPr>
        <w:pStyle w:val="Heading2"/>
        <w:spacing w:after="120" w:before="240"/>
      </w:pPr>
      <w:r>
        <w:rPr>
          <w:b/>
          <w:bCs/>
          <w:color w:val="1B3A57"/>
          <w:sz w:val="28"/>
          <w:szCs w:val="28"/>
        </w:rPr>
        <w:t xml:space="preserve">12.4 Interventions hors forfait</w:t>
      </w:r>
    </w:p>
    <w:p>
      <w:pPr>
        <w:pStyle w:val="ListParagraph"/>
        <w:numPr>
          <w:ilvl w:val="0"/>
          <w:numId w:val="2"/>
        </w:numPr>
        <w:spacing w:after="30" w:before="30"/>
      </w:pPr>
      <w:r>
        <w:t xml:space="preserve">Nouvelles fonctionnalités majeures : sur devis</w:t>
      </w:r>
    </w:p>
    <w:p>
      <w:pPr>
        <w:pStyle w:val="ListParagraph"/>
        <w:numPr>
          <w:ilvl w:val="0"/>
          <w:numId w:val="2"/>
        </w:numPr>
        <w:spacing w:after="30" w:before="30"/>
      </w:pPr>
      <w:r>
        <w:t xml:space="preserve">Refontes structurelles : sur devis</w:t>
      </w:r>
    </w:p>
    <w:p>
      <w:pPr>
        <w:pStyle w:val="ListParagraph"/>
        <w:numPr>
          <w:ilvl w:val="0"/>
          <w:numId w:val="2"/>
        </w:numPr>
        <w:spacing w:after="30" w:before="30"/>
      </w:pPr>
      <w:r>
        <w:t xml:space="preserve">Interventions ponctuelles hors forfait : facturées au tarif horaire de 60 € HT, sur devis et accord préalable</w:t>
      </w:r>
    </w:p>
    <w:p>
      <w:pPr>
        <w:pStyle w:val="ListParagraph"/>
        <w:numPr>
          <w:ilvl w:val="0"/>
          <w:numId w:val="2"/>
        </w:numPr>
        <w:spacing w:after="30" w:before="30"/>
      </w:pPr>
      <w:r>
        <w:t xml:space="preserve">Astreinte 24/7 : à étudier au cas par cas</w:t>
      </w:r>
    </w:p>
    <w:p>
      <w:pPr>
        <w:pStyle w:val="Heading1"/>
        <w:pageBreakBefore/>
      </w:pPr>
      <w:r>
        <w:rPr>
          <w:b/>
          <w:bCs/>
          <w:color w:val="1B3A57"/>
          <w:sz w:val="36"/>
          <w:szCs w:val="36"/>
        </w:rPr>
        <w:t xml:space="preserve">13. Propriété intellectuelle et confidentialité</w:t>
      </w:r>
    </w:p>
    <w:p>
      <w:pPr>
        <w:pStyle w:val="Heading2"/>
        <w:spacing w:after="120" w:before="240"/>
      </w:pPr>
      <w:r>
        <w:rPr>
          <w:b/>
          <w:bCs/>
          <w:color w:val="1B3A57"/>
          <w:sz w:val="28"/>
          <w:szCs w:val="28"/>
        </w:rPr>
        <w:t xml:space="preserve">13.1 Transfert de propriété du code</w:t>
      </w:r>
    </w:p>
    <w:p>
      <w:pPr>
        <w:spacing w:after="80" w:before="80"/>
      </w:pPr>
      <w:r>
        <w:rPr>
          <w:b w:val="false"/>
          <w:bCs w:val="false"/>
          <w:i w:val="false"/>
          <w:iCs w:val="false"/>
          <w:color w:val="000000"/>
          <w:sz w:val="22"/>
          <w:szCs w:val="22"/>
        </w:rPr>
        <w:t xml:space="preserve">La propriété du code développé dans le cadre du présent cahier des charges et du devis D-2026-003 est transférée au maître d'ouvrage au paiement de la dernière échéance. Le code est progressivement déposé sur un repository accessible au maître d'ouvrage tout au long du projet, ce qui garantit une visibilité continue sur l'avancement.</w:t>
      </w:r>
    </w:p>
    <w:p>
      <w:pPr>
        <w:pStyle w:val="Heading2"/>
        <w:spacing w:after="120" w:before="240"/>
      </w:pPr>
      <w:r>
        <w:rPr>
          <w:b/>
          <w:bCs/>
          <w:color w:val="1B3A57"/>
          <w:sz w:val="28"/>
          <w:szCs w:val="28"/>
        </w:rPr>
        <w:t xml:space="preserve">13.2 Étendue du transfert</w:t>
      </w:r>
    </w:p>
    <w:p>
      <w:pPr>
        <w:pStyle w:val="ListParagraph"/>
        <w:numPr>
          <w:ilvl w:val="0"/>
          <w:numId w:val="2"/>
        </w:numPr>
        <w:spacing w:after="30" w:before="30"/>
      </w:pPr>
      <w:r>
        <w:t xml:space="preserve">Frontend (interface utilisateur PWA et back-office)</w:t>
      </w:r>
    </w:p>
    <w:p>
      <w:pPr>
        <w:pStyle w:val="ListParagraph"/>
        <w:numPr>
          <w:ilvl w:val="0"/>
          <w:numId w:val="2"/>
        </w:numPr>
        <w:spacing w:after="30" w:before="30"/>
      </w:pPr>
      <w:r>
        <w:t xml:space="preserve">Backend (API et logique métier)</w:t>
      </w:r>
    </w:p>
    <w:p>
      <w:pPr>
        <w:pStyle w:val="ListParagraph"/>
        <w:numPr>
          <w:ilvl w:val="0"/>
          <w:numId w:val="2"/>
        </w:numPr>
        <w:spacing w:after="30" w:before="30"/>
      </w:pPr>
      <w:r>
        <w:t xml:space="preserve">Scripts et configuration spécifiques au projet</w:t>
      </w:r>
    </w:p>
    <w:p>
      <w:pPr>
        <w:pStyle w:val="ListParagraph"/>
        <w:numPr>
          <w:ilvl w:val="0"/>
          <w:numId w:val="2"/>
        </w:numPr>
        <w:spacing w:after="30" w:before="30"/>
      </w:pPr>
      <w:r>
        <w:t xml:space="preserve">Documentation technique de base</w:t>
      </w:r>
    </w:p>
    <w:p>
      <w:pPr>
        <w:pStyle w:val="Heading2"/>
        <w:spacing w:after="120" w:before="240"/>
      </w:pPr>
      <w:r>
        <w:rPr>
          <w:b/>
          <w:bCs/>
          <w:color w:val="1B3A57"/>
          <w:sz w:val="28"/>
          <w:szCs w:val="28"/>
        </w:rPr>
        <w:t xml:space="preserve">13.3 Droits transférés</w:t>
      </w:r>
    </w:p>
    <w:p>
      <w:pPr>
        <w:pStyle w:val="ListParagraph"/>
        <w:numPr>
          <w:ilvl w:val="0"/>
          <w:numId w:val="2"/>
        </w:numPr>
        <w:spacing w:after="30" w:before="30"/>
      </w:pPr>
      <w:r>
        <w:t xml:space="preserve">Droits d'utilisation, de modification, d'évolution et de transfert à un tiers</w:t>
      </w:r>
    </w:p>
    <w:p>
      <w:pPr>
        <w:pStyle w:val="ListParagraph"/>
        <w:numPr>
          <w:ilvl w:val="0"/>
          <w:numId w:val="2"/>
        </w:numPr>
        <w:spacing w:after="30" w:before="30"/>
      </w:pPr>
      <w:r>
        <w:t xml:space="preserve">Possibilité d'internaliser le développement ou de confier la suite à un autre prestataire</w:t>
      </w:r>
    </w:p>
    <w:p>
      <w:pPr>
        <w:pStyle w:val="Heading2"/>
        <w:spacing w:after="120" w:before="240"/>
      </w:pPr>
      <w:r>
        <w:rPr>
          <w:b/>
          <w:bCs/>
          <w:color w:val="1B3A57"/>
          <w:sz w:val="28"/>
          <w:szCs w:val="28"/>
        </w:rPr>
        <w:t xml:space="preserve">13.4 Composants tiers</w:t>
      </w:r>
    </w:p>
    <w:p>
      <w:pPr>
        <w:spacing w:after="80" w:before="80"/>
      </w:pPr>
      <w:r>
        <w:rPr>
          <w:b w:val="false"/>
          <w:bCs w:val="false"/>
          <w:i w:val="false"/>
          <w:iCs w:val="false"/>
          <w:color w:val="000000"/>
          <w:sz w:val="22"/>
          <w:szCs w:val="22"/>
        </w:rPr>
        <w:t xml:space="preserve">Le projet repose sur des composants et services tiers (frameworks open source, plateformes cloud, services SaaS). Chacun reste soumis à ses propres conditions et licences. Aucune brique propriétaire au maître d'œuvre n'est imposée au projet.</w:t>
      </w:r>
    </w:p>
    <w:p>
      <w:pPr>
        <w:pStyle w:val="Heading2"/>
        <w:spacing w:after="120" w:before="240"/>
      </w:pPr>
      <w:r>
        <w:rPr>
          <w:b/>
          <w:bCs/>
          <w:color w:val="1B3A57"/>
          <w:sz w:val="28"/>
          <w:szCs w:val="28"/>
        </w:rPr>
        <w:t xml:space="preserve">13.5 Référencement et droit de citation</w:t>
      </w:r>
    </w:p>
    <w:p>
      <w:pPr>
        <w:spacing w:after="80" w:before="80"/>
      </w:pPr>
      <w:r>
        <w:rPr>
          <w:b w:val="false"/>
          <w:bCs w:val="false"/>
          <w:i w:val="false"/>
          <w:iCs w:val="false"/>
          <w:color w:val="000000"/>
          <w:sz w:val="22"/>
          <w:szCs w:val="22"/>
        </w:rPr>
        <w:t xml:space="preserve">Sauf opposition écrite du maître d'ouvrage, le maître d'œuvre se réserve le droit de citer la mission Toolbox24 dans ses références commerciales (nom du projet, descriptif général, captures d'écran non confidentielles).</w:t>
      </w:r>
    </w:p>
    <w:p>
      <w:pPr>
        <w:pStyle w:val="Heading2"/>
        <w:spacing w:after="120" w:before="240"/>
      </w:pPr>
      <w:r>
        <w:rPr>
          <w:b/>
          <w:bCs/>
          <w:color w:val="1B3A57"/>
          <w:sz w:val="28"/>
          <w:szCs w:val="28"/>
        </w:rPr>
        <w:t xml:space="preserve">13.6 Confidentialité</w:t>
      </w:r>
    </w:p>
    <w:p>
      <w:pPr>
        <w:spacing w:after="80" w:before="80"/>
      </w:pPr>
      <w:r>
        <w:rPr>
          <w:b w:val="false"/>
          <w:bCs w:val="false"/>
          <w:i w:val="false"/>
          <w:iCs w:val="false"/>
          <w:color w:val="000000"/>
          <w:sz w:val="22"/>
          <w:szCs w:val="22"/>
        </w:rPr>
        <w:t xml:space="preserve">Chaque partie s'engage à conserver confidentielles les informations échangées dans le cadre du projet et à ne pas les divulguer à des tiers, sauf accord écrit préalable. Cette obligation perdure pendant toute la durée du projet et pendant 3 ans après son terme.</w:t>
      </w:r>
    </w:p>
    <w:p>
      <w:pPr>
        <w:pStyle w:val="Heading2"/>
        <w:spacing w:after="120" w:before="240"/>
      </w:pPr>
      <w:r>
        <w:rPr>
          <w:b/>
          <w:bCs/>
          <w:color w:val="1B3A57"/>
          <w:sz w:val="28"/>
          <w:szCs w:val="28"/>
        </w:rPr>
        <w:t xml:space="preserve">13.7 Gestion des accès techniques</w:t>
      </w:r>
    </w:p>
    <w:p>
      <w:pPr>
        <w:spacing w:after="80" w:before="80"/>
      </w:pPr>
      <w:r>
        <w:rPr>
          <w:b w:val="false"/>
          <w:bCs w:val="false"/>
          <w:i w:val="false"/>
          <w:iCs w:val="false"/>
          <w:color w:val="000000"/>
          <w:sz w:val="22"/>
          <w:szCs w:val="22"/>
        </w:rPr>
        <w:t xml:space="preserve">Tous les services critiques sont créés au nom de Toolbox24 (CSHM Groupe). Le maître d'œuvre intervient en accès secondaire (collaborateur, développeur) sécurisé et révocable à tout moment par le maître d'ouvrage. La documentation des accès et des configurations est remise au maître d'ouvrage en fin de mission.</w:t>
      </w:r>
    </w:p>
    <w:p>
      <w:pPr>
        <w:pStyle w:val="Heading1"/>
        <w:pageBreakBefore/>
      </w:pPr>
      <w:r>
        <w:rPr>
          <w:b/>
          <w:bCs/>
          <w:color w:val="1B3A57"/>
          <w:sz w:val="36"/>
          <w:szCs w:val="36"/>
        </w:rPr>
        <w:t xml:space="preserve">14. Risques projet et mitigation</w:t>
      </w:r>
    </w:p>
    <w:p>
      <w:pPr>
        <w:spacing w:after="80" w:before="80"/>
      </w:pPr>
      <w:r>
        <w:rPr>
          <w:b w:val="false"/>
          <w:bCs w:val="false"/>
          <w:i w:val="false"/>
          <w:iCs w:val="false"/>
          <w:color w:val="000000"/>
          <w:sz w:val="22"/>
          <w:szCs w:val="22"/>
        </w:rPr>
        <w:t xml:space="preserve">Le tableau ci-dessous identifie les principaux risques projet et les mesures de mitigation associées. Il fait l'objet d'une relecture conjointe en début et en fin de chaque phase.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1500"/>
        <w:gridCol w:w="3026"/>
      </w:tblGrid>
      <w:tr>
        <w:trPr>
          <w:tblHeader/>
        </w:trPr>
        <w:tc>
          <w:tcPr>
            <w:tcW w:type="dxa" w:w="30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Risque</w:t>
            </w:r>
          </w:p>
        </w:tc>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Probabilité</w:t>
            </w:r>
          </w:p>
        </w:tc>
        <w:tc>
          <w:tcPr>
            <w:tcW w:type="dxa" w:w="1500"/>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center"/>
            </w:pPr>
            <w:r>
              <w:rPr>
                <w:b/>
                <w:bCs/>
                <w:color w:val="FFFFFF"/>
                <w:sz w:val="19"/>
                <w:szCs w:val="19"/>
              </w:rPr>
              <w:t xml:space="preserve">Impact</w:t>
            </w:r>
          </w:p>
        </w:tc>
        <w:tc>
          <w:tcPr>
            <w:tcW w:type="dxa" w:w="3026"/>
            <w:tcBorders>
              <w:top w:val="single" w:color="CCCCCC" w:sz="4"/>
              <w:left w:val="single" w:color="CCCCCC" w:sz="4"/>
              <w:bottom w:val="single" w:color="CCCCCC" w:sz="4"/>
              <w:right w:val="single" w:color="CCCCCC" w:sz="4"/>
            </w:tcBorders>
            <w:shd w:fill="1B3A57" w:val="clear"/>
            <w:tcMar>
              <w:top w:type="dxa" w:w="100"/>
              <w:left w:type="dxa" w:w="140"/>
              <w:bottom w:type="dxa" w:w="100"/>
              <w:right w:type="dxa" w:w="140"/>
            </w:tcMar>
          </w:tcPr>
          <w:p>
            <w:pPr>
              <w:jc w:val="left"/>
            </w:pPr>
            <w:r>
              <w:rPr>
                <w:b/>
                <w:bCs/>
                <w:color w:val="FFFFFF"/>
                <w:sz w:val="19"/>
                <w:szCs w:val="19"/>
              </w:rPr>
              <w:t xml:space="preserve">Mitigation</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Indisponibilité ou retard documentation API Kasier</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Élevé</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Choix fournisseur Phase 1, mock driver, abstraction logicielle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Retard de fourniture des éléments client (CGU, charte, contenus)</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Liste prérequis explicite, suivi hebdomadaire, alerte écrite</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Glissement de périmètre en cours de projet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Élevé</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Procédure de gestion du changement formalisée, mémo périmètre signé</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Indisponibilité d'un service tiers en exploitation</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Faible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Élevé</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Monitoring + alertes, contrats au nom du client</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Non-conformité RGPD au démarrage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Faible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DPIA fournie par le client avant GO LIVE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Robustesse physique de la borne sur chantier BTP</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Cadrage matériel avec Kasier, tests environnementaux</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Adoption utilisateur (taux d'abandon scan QR + photos)</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Élevé</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Tests utilisateurs réels avant GO LIVE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Qualité photos chantier (mauvais éclairage)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Production probable d'orange en masse, à anticiper côté exploitation</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Litige utilisateur sur décision de caution</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Justification motivée du moteur, traçabilité, médiation</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Échecs paiement abonnement récurrent</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Faible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Faible</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Politique de grâce paramétrée, alertes super-admin</w:t>
            </w:r>
          </w:p>
        </w:tc>
      </w:tr>
      <w:tr>
        <w:tc>
          <w:tcPr>
            <w:tcW w:type="dxa" w:w="30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Pack avec casier indisponible au retrait</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E07B2C"/>
                <w:sz w:val="19"/>
                <w:szCs w:val="19"/>
              </w:rPr>
              <w:t xml:space="preserve">Faible</w:t>
            </w:r>
          </w:p>
        </w:tc>
        <w:tc>
          <w:tcPr>
            <w:tcW w:type="dxa" w:w="1500"/>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19"/>
                <w:szCs w:val="19"/>
              </w:rPr>
              <w:t xml:space="preserve">Procédure de fallback documentée, casier alternatif si possible</w:t>
            </w:r>
          </w:p>
        </w:tc>
      </w:tr>
      <w:tr>
        <w:tc>
          <w:tcPr>
            <w:tcW w:type="dxa" w:w="30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Demande de droit à l'oubli RGPD</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E07B2C"/>
                <w:sz w:val="19"/>
                <w:szCs w:val="19"/>
              </w:rPr>
              <w:t xml:space="preserve">Moyenne</w:t>
            </w:r>
          </w:p>
        </w:tc>
        <w:tc>
          <w:tcPr>
            <w:tcW w:type="dxa" w:w="1500"/>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center"/>
            </w:pPr>
            <w:r>
              <w:rPr>
                <w:b/>
                <w:bCs/>
                <w:color w:val="C62828"/>
                <w:sz w:val="19"/>
                <w:szCs w:val="19"/>
              </w:rPr>
              <w:t xml:space="preserve">Moyen</w:t>
            </w:r>
          </w:p>
        </w:tc>
        <w:tc>
          <w:tcPr>
            <w:tcW w:type="dxa" w:w="3026"/>
            <w:tcBorders>
              <w:top w:val="single" w:color="CCCCCC" w:sz="4"/>
              <w:left w:val="single" w:color="CCCCCC" w:sz="4"/>
              <w:bottom w:val="single" w:color="CCCCCC" w:sz="4"/>
              <w:right w:val="single" w:color="CCCCCC" w:sz="4"/>
            </w:tcBorders>
            <w:shd w:fill="F2F2F2" w:val="clear"/>
            <w:tcMar>
              <w:top w:type="dxa" w:w="100"/>
              <w:left w:type="dxa" w:w="140"/>
              <w:bottom w:type="dxa" w:w="100"/>
              <w:right w:type="dxa" w:w="140"/>
            </w:tcMar>
          </w:tcPr>
          <w:p>
            <w:pPr>
              <w:jc w:val="left"/>
            </w:pPr>
            <w:r>
              <w:rPr>
                <w:b w:val="false"/>
                <w:bCs w:val="false"/>
                <w:color w:val="000000"/>
                <w:sz w:val="19"/>
                <w:szCs w:val="19"/>
              </w:rPr>
              <w:t xml:space="preserve">Procédure d'anonymisation respectant les obligations légales (10 ans facturation)</w:t>
            </w:r>
          </w:p>
        </w:tc>
      </w:tr>
    </w:tbl>
    <w:p>
      <w:pPr>
        <w:spacing w:after="80" w:before="80"/>
      </w:pPr>
      <w:r>
        <w:rPr>
          <w:b w:val="false"/>
          <w:bCs w:val="false"/>
          <w:i w:val="false"/>
          <w:iCs w:val="false"/>
          <w:color w:val="000000"/>
          <w:sz w:val="22"/>
          <w:szCs w:val="22"/>
        </w:rPr>
        <w:t xml:space="preserve">La présente liste n'est pas exhaustive. Tout nouveau risque identifié en cours de projet est ajouté au registre et fait l'objet d'un plan de mitigation discuté en réunion de suivi.</w:t>
      </w:r>
    </w:p>
    <w:p>
      <w:pPr>
        <w:pStyle w:val="Heading1"/>
        <w:pageBreakBefore/>
      </w:pPr>
      <w:r>
        <w:rPr>
          <w:b/>
          <w:bCs/>
          <w:color w:val="1B3A57"/>
          <w:sz w:val="36"/>
          <w:szCs w:val="36"/>
        </w:rPr>
        <w:t xml:space="preserve">15. Conditions générales et signatures</w:t>
      </w:r>
    </w:p>
    <w:p>
      <w:pPr>
        <w:pStyle w:val="Heading2"/>
        <w:spacing w:after="120" w:before="240"/>
      </w:pPr>
      <w:r>
        <w:rPr>
          <w:b/>
          <w:bCs/>
          <w:color w:val="1B3A57"/>
          <w:sz w:val="28"/>
          <w:szCs w:val="28"/>
        </w:rPr>
        <w:t xml:space="preserve">15.1 Conditions générales</w:t>
      </w:r>
    </w:p>
    <w:p>
      <w:pPr>
        <w:spacing w:after="80" w:before="80"/>
      </w:pPr>
      <w:r>
        <w:rPr>
          <w:b w:val="false"/>
          <w:bCs w:val="false"/>
          <w:i w:val="false"/>
          <w:iCs w:val="false"/>
          <w:color w:val="000000"/>
          <w:sz w:val="22"/>
          <w:szCs w:val="22"/>
        </w:rPr>
        <w:t xml:space="preserve">Le présent cahier des charges, le devis D-2026-003 et leurs annexes constituent l'engagement contractuel entre les parties. En cas de contradiction entre les documents, l'ordre de prévalence est :</w:t>
      </w:r>
    </w:p>
    <w:p>
      <w:pPr>
        <w:pStyle w:val="ListParagraph"/>
        <w:numPr>
          <w:ilvl w:val="0"/>
          <w:numId w:val="2"/>
        </w:numPr>
        <w:spacing w:after="30" w:before="30"/>
      </w:pPr>
      <w:r>
        <w:t xml:space="preserve">1. Le présent cahier des charges signé</w:t>
      </w:r>
    </w:p>
    <w:p>
      <w:pPr>
        <w:pStyle w:val="ListParagraph"/>
        <w:numPr>
          <w:ilvl w:val="0"/>
          <w:numId w:val="2"/>
        </w:numPr>
        <w:spacing w:after="30" w:before="30"/>
      </w:pPr>
      <w:r>
        <w:t xml:space="preserve">2. Les avenants postérieurs signés</w:t>
      </w:r>
    </w:p>
    <w:p>
      <w:pPr>
        <w:pStyle w:val="ListParagraph"/>
        <w:numPr>
          <w:ilvl w:val="0"/>
          <w:numId w:val="2"/>
        </w:numPr>
        <w:spacing w:after="30" w:before="30"/>
      </w:pPr>
      <w:r>
        <w:t xml:space="preserve">3. Le devis D-2026-003</w:t>
      </w:r>
    </w:p>
    <w:p>
      <w:pPr>
        <w:pStyle w:val="ListParagraph"/>
        <w:numPr>
          <w:ilvl w:val="0"/>
          <w:numId w:val="2"/>
        </w:numPr>
        <w:spacing w:after="30" w:before="30"/>
      </w:pPr>
      <w:r>
        <w:t xml:space="preserve">4. Les annexes techniques (Référentiel, Architecture, Kasier, Tests)</w:t>
      </w:r>
    </w:p>
    <w:p>
      <w:pPr>
        <w:pStyle w:val="Heading2"/>
        <w:spacing w:after="120" w:before="240"/>
      </w:pPr>
      <w:r>
        <w:rPr>
          <w:b/>
          <w:bCs/>
          <w:color w:val="1B3A57"/>
          <w:sz w:val="28"/>
          <w:szCs w:val="28"/>
        </w:rPr>
        <w:t xml:space="preserve">15.2 Loi applicable et juridiction</w:t>
      </w:r>
    </w:p>
    <w:p>
      <w:pPr>
        <w:spacing w:after="80" w:before="80"/>
      </w:pPr>
      <w:r>
        <w:rPr>
          <w:b w:val="false"/>
          <w:bCs w:val="false"/>
          <w:i w:val="false"/>
          <w:iCs w:val="false"/>
          <w:color w:val="000000"/>
          <w:sz w:val="22"/>
          <w:szCs w:val="22"/>
        </w:rPr>
        <w:t xml:space="preserve">Le présent cahier des charges est soumis au droit français. Tout litige relatif à son interprétation ou à son exécution sera soumis aux juridictions compétentes du ressort du siège social du maître d'œuvre, après tentative de résolution amiable.</w:t>
      </w:r>
    </w:p>
    <w:p>
      <w:pPr>
        <w:pStyle w:val="Heading2"/>
        <w:spacing w:after="120" w:before="240"/>
      </w:pPr>
      <w:r>
        <w:rPr>
          <w:b/>
          <w:bCs/>
          <w:color w:val="1B3A57"/>
          <w:sz w:val="28"/>
          <w:szCs w:val="28"/>
        </w:rPr>
        <w:t xml:space="preserve">15.3 Acceptation</w:t>
      </w:r>
    </w:p>
    <w:p>
      <w:pPr>
        <w:spacing w:after="80" w:before="80"/>
      </w:pPr>
      <w:r>
        <w:rPr>
          <w:b w:val="false"/>
          <w:bCs w:val="false"/>
          <w:i w:val="false"/>
          <w:iCs w:val="false"/>
          <w:color w:val="000000"/>
          <w:sz w:val="22"/>
          <w:szCs w:val="22"/>
        </w:rPr>
        <w:t xml:space="preserve">La signature du présent cahier des charges par les deux parties vaut accord sur l'ensemble du périmètre, des délais, des conditions financières et des modalités décrites. Toute évolution ultérieure fait l'objet d'un avenant écrit signé par les deux parties.</w:t>
      </w:r>
    </w:p>
    <w:p>
      <w:r>
        <w:t xml:space="preserve"/>
      </w:r>
    </w:p>
    <w:p>
      <w:r>
        <w:t xml:space="preserve"/>
      </w:r>
    </w:p>
    <w:p>
      <w:r>
        <w:t xml:space="preserve"/>
      </w:r>
    </w:p>
    <w:p>
      <w:r>
        <w:t xml:space="preserve"/>
      </w:r>
    </w:p>
    <w:p>
      <w:pPr>
        <w:pStyle w:val="Heading2"/>
        <w:spacing w:after="120" w:before="240"/>
      </w:pPr>
      <w:r>
        <w:rPr>
          <w:b/>
          <w:bCs/>
          <w:color w:val="1B3A57"/>
          <w:sz w:val="28"/>
          <w:szCs w:val="28"/>
        </w:rPr>
        <w:t xml:space="preserve">15.4 Signatures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1B3A57"/>
                <w:sz w:val="24"/>
                <w:szCs w:val="24"/>
              </w:rPr>
              <w:t xml:space="preserve">Pour le maître d'ouvrage</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bCs/>
                <w:color w:val="1B3A57"/>
                <w:sz w:val="24"/>
                <w:szCs w:val="24"/>
              </w:rPr>
              <w:t xml:space="preserve">Pour le maître d'œuvre</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22"/>
                <w:szCs w:val="22"/>
              </w:rPr>
              <w:t xml:space="preserve">CSHM Groupe — Toolbox24</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22"/>
                <w:szCs w:val="22"/>
              </w:rPr>
              <w:t xml:space="preserve">THILLION AGENCY</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22"/>
                <w:szCs w:val="22"/>
              </w:rPr>
              <w:t xml:space="preserve">Cédric Thibaudet</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000000"/>
                <w:sz w:val="22"/>
                <w:szCs w:val="22"/>
              </w:rPr>
              <w:t xml:space="preserve">Guillaume Boudon</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Date :  ____ / ____ / 2026</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Date :  ____ / ____ / 2026</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Lieu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Lieu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555555"/>
                <w:sz w:val="20"/>
                <w:szCs w:val="20"/>
              </w:rPr>
              <w:t xml:space="preserve">Signature et cachet</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center"/>
            </w:pPr>
            <w:r>
              <w:rPr>
                <w:b w:val="false"/>
                <w:bCs w:val="false"/>
                <w:color w:val="555555"/>
                <w:sz w:val="20"/>
                <w:szCs w:val="20"/>
              </w:rPr>
              <w:t xml:space="preserve">Signature et cachet</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r>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c>
          <w:tcPr>
            <w:tcW w:type="dxa" w:w="4513"/>
            <w:tcBorders>
              <w:top w:val="single" w:color="CCCCCC" w:sz="4"/>
              <w:left w:val="single" w:color="CCCCCC" w:sz="4"/>
              <w:bottom w:val="single" w:color="CCCCCC" w:sz="4"/>
              <w:right w:val="single" w:color="CCCCCC" w:sz="4"/>
            </w:tcBorders>
            <w:tcMar>
              <w:top w:type="dxa" w:w="100"/>
              <w:left w:type="dxa" w:w="140"/>
              <w:bottom w:type="dxa" w:w="100"/>
              <w:right w:type="dxa" w:w="140"/>
            </w:tcMar>
          </w:tcPr>
          <w:p>
            <w:pPr>
              <w:jc w:val="left"/>
            </w:pPr>
            <w:r>
              <w:rPr>
                <w:b w:val="false"/>
                <w:bCs w:val="false"/>
                <w:color w:val="000000"/>
                <w:sz w:val="22"/>
                <w:szCs w:val="22"/>
              </w:rPr>
              <w:t xml:space="preserve"> </w:t>
            </w:r>
          </w:p>
        </w:tc>
      </w:tr>
    </w:tbl>
    <w:p>
      <w:pPr>
        <w:pStyle w:val="Heading1"/>
        <w:pageBreakBefore/>
      </w:pPr>
      <w:r>
        <w:rPr>
          <w:b/>
          <w:bCs/>
          <w:color w:val="1B3A57"/>
          <w:sz w:val="36"/>
          <w:szCs w:val="36"/>
        </w:rPr>
        <w:t xml:space="preserve">Annexes</w:t>
      </w:r>
    </w:p>
    <w:p>
      <w:pPr>
        <w:pStyle w:val="Heading2"/>
        <w:spacing w:after="120" w:before="240"/>
      </w:pPr>
      <w:r>
        <w:rPr>
          <w:b/>
          <w:bCs/>
          <w:color w:val="1B3A57"/>
          <w:sz w:val="28"/>
          <w:szCs w:val="28"/>
        </w:rPr>
        <w:t xml:space="preserve">Annexe 1 — Glossaire</w:t>
      </w:r>
    </w:p>
    <w:p>
      <w:pPr>
        <w:pStyle w:val="ListParagraph"/>
        <w:numPr>
          <w:ilvl w:val="0"/>
          <w:numId w:val="2"/>
        </w:numPr>
        <w:spacing w:after="30" w:before="30"/>
      </w:pPr>
      <w:r>
        <w:rPr>
          <w:b/>
          <w:bCs/>
        </w:rPr>
        <w:t xml:space="preserve">MVP : </w:t>
      </w:r>
      <w:r>
        <w:t xml:space="preserve">Minimum Viable Product, première version livrable du produit avec les fonctionnalités essentielles.</w:t>
      </w:r>
    </w:p>
    <w:p>
      <w:pPr>
        <w:pStyle w:val="ListParagraph"/>
        <w:numPr>
          <w:ilvl w:val="0"/>
          <w:numId w:val="2"/>
        </w:numPr>
        <w:spacing w:after="30" w:before="30"/>
      </w:pPr>
      <w:r>
        <w:rPr>
          <w:b/>
          <w:bCs/>
        </w:rPr>
        <w:t xml:space="preserve">PWA : </w:t>
      </w:r>
      <w:r>
        <w:t xml:space="preserve">Progressive Web App, application web installable sur smartphone offrant une expérience proche d'une application native.</w:t>
      </w:r>
    </w:p>
    <w:p>
      <w:pPr>
        <w:pStyle w:val="ListParagraph"/>
        <w:numPr>
          <w:ilvl w:val="0"/>
          <w:numId w:val="2"/>
        </w:numPr>
        <w:spacing w:after="30" w:before="30"/>
      </w:pPr>
      <w:r>
        <w:rPr>
          <w:b/>
          <w:bCs/>
        </w:rPr>
        <w:t xml:space="preserve">Pré-autorisation : </w:t>
      </w:r>
      <w:r>
        <w:t xml:space="preserve">blocage temporaire d'un montant sur la carte bancaire sans débit immédiat (mécanisme Stripe Payment Intent en mode capture manuelle).</w:t>
      </w:r>
    </w:p>
    <w:p>
      <w:pPr>
        <w:pStyle w:val="ListParagraph"/>
        <w:numPr>
          <w:ilvl w:val="0"/>
          <w:numId w:val="2"/>
        </w:numPr>
        <w:spacing w:after="30" w:before="30"/>
      </w:pPr>
      <w:r>
        <w:rPr>
          <w:b/>
          <w:bCs/>
        </w:rPr>
        <w:t xml:space="preserve">Capture : </w:t>
      </w:r>
      <w:r>
        <w:t xml:space="preserve">exécution effective d'un débit suite à une pré-autorisation.</w:t>
      </w:r>
    </w:p>
    <w:p>
      <w:pPr>
        <w:pStyle w:val="ListParagraph"/>
        <w:numPr>
          <w:ilvl w:val="0"/>
          <w:numId w:val="2"/>
        </w:numPr>
        <w:spacing w:after="30" w:before="30"/>
      </w:pPr>
      <w:r>
        <w:rPr>
          <w:b/>
          <w:bCs/>
        </w:rPr>
        <w:t xml:space="preserve">Caution : </w:t>
      </w:r>
      <w:r>
        <w:t xml:space="preserve">montant pré-autorisé en supplément du prix de location, libéré en totalité ou partiellement après validation humaine.</w:t>
      </w:r>
    </w:p>
    <w:p>
      <w:pPr>
        <w:pStyle w:val="ListParagraph"/>
        <w:numPr>
          <w:ilvl w:val="0"/>
          <w:numId w:val="2"/>
        </w:numPr>
        <w:spacing w:after="30" w:before="30"/>
      </w:pPr>
      <w:r>
        <w:rPr>
          <w:b/>
          <w:bCs/>
        </w:rPr>
        <w:t xml:space="preserve">Statut V/O/R : </w:t>
      </w:r>
      <w:r>
        <w:t xml:space="preserve">Vert (conforme) / Orange (doute) / Rouge (anomalie), résultat du moteur de scoring multi-signal.</w:t>
      </w:r>
    </w:p>
    <w:p>
      <w:pPr>
        <w:pStyle w:val="ListParagraph"/>
        <w:numPr>
          <w:ilvl w:val="0"/>
          <w:numId w:val="2"/>
        </w:numPr>
        <w:spacing w:after="30" w:before="30"/>
      </w:pPr>
      <w:r>
        <w:rPr>
          <w:b/>
          <w:bCs/>
        </w:rPr>
        <w:t xml:space="preserve">Pack : </w:t>
      </w:r>
      <w:r>
        <w:t xml:space="preserve">ensemble d'outils prédéfini par l'administrateur, réservable en une seule session (1 session = N items).</w:t>
      </w:r>
    </w:p>
    <w:p>
      <w:pPr>
        <w:pStyle w:val="ListParagraph"/>
        <w:numPr>
          <w:ilvl w:val="0"/>
          <w:numId w:val="2"/>
        </w:numPr>
        <w:spacing w:after="30" w:before="30"/>
      </w:pPr>
      <w:r>
        <w:rPr>
          <w:b/>
          <w:bCs/>
        </w:rPr>
        <w:t xml:space="preserve">Abonnement professionnel : </w:t>
      </w:r>
      <w:r>
        <w:t xml:space="preserve">engagement mensuel récurrent donnant accès à un discount sur les locations.</w:t>
      </w:r>
    </w:p>
    <w:p>
      <w:pPr>
        <w:pStyle w:val="ListParagraph"/>
        <w:numPr>
          <w:ilvl w:val="0"/>
          <w:numId w:val="2"/>
        </w:numPr>
        <w:spacing w:after="30" w:before="30"/>
      </w:pPr>
      <w:r>
        <w:rPr>
          <w:b/>
          <w:bCs/>
        </w:rPr>
        <w:t xml:space="preserve">Mode dégradé : </w:t>
      </w:r>
      <w:r>
        <w:t xml:space="preserve">fonctionnement sans smartphone (PIN) ou en cas d'indisponibilité d'un service tiers.</w:t>
      </w:r>
    </w:p>
    <w:p>
      <w:pPr>
        <w:pStyle w:val="ListParagraph"/>
        <w:numPr>
          <w:ilvl w:val="0"/>
          <w:numId w:val="2"/>
        </w:numPr>
        <w:spacing w:after="30" w:before="30"/>
      </w:pPr>
      <w:r>
        <w:rPr>
          <w:b/>
          <w:bCs/>
        </w:rPr>
        <w:t xml:space="preserve">RLS : </w:t>
      </w:r>
      <w:r>
        <w:t xml:space="preserve">Row Level Security, mécanisme de sécurité Postgres garantissant que chaque utilisateur ne peut accéder qu'aux lignes auxquelles il est autorisé.</w:t>
      </w:r>
    </w:p>
    <w:p>
      <w:pPr>
        <w:pStyle w:val="ListParagraph"/>
        <w:numPr>
          <w:ilvl w:val="0"/>
          <w:numId w:val="2"/>
        </w:numPr>
        <w:spacing w:after="30" w:before="30"/>
      </w:pPr>
      <w:r>
        <w:rPr>
          <w:b/>
          <w:bCs/>
        </w:rPr>
        <w:t xml:space="preserve">DPIA : </w:t>
      </w:r>
      <w:r>
        <w:t xml:space="preserve">Analyse d'impact relative à la protection des données, obligation RGPD pour les traitements à risque.</w:t>
      </w:r>
    </w:p>
    <w:p>
      <w:pPr>
        <w:pStyle w:val="ListParagraph"/>
        <w:numPr>
          <w:ilvl w:val="0"/>
          <w:numId w:val="2"/>
        </w:numPr>
        <w:spacing w:after="30" w:before="30"/>
      </w:pPr>
      <w:r>
        <w:rPr>
          <w:b/>
          <w:bCs/>
        </w:rPr>
        <w:t xml:space="preserve">MRR : </w:t>
      </w:r>
      <w:r>
        <w:t xml:space="preserve">Monthly Recurring Revenue, revenu récurrent mensuel généré par les abonnements.</w:t>
      </w:r>
    </w:p>
    <w:p>
      <w:pPr>
        <w:pStyle w:val="ListParagraph"/>
        <w:numPr>
          <w:ilvl w:val="0"/>
          <w:numId w:val="2"/>
        </w:numPr>
        <w:spacing w:after="30" w:before="30"/>
      </w:pPr>
      <w:r>
        <w:rPr>
          <w:b/>
          <w:bCs/>
        </w:rPr>
        <w:t xml:space="preserve">SCA : </w:t>
      </w:r>
      <w:r>
        <w:t xml:space="preserve">Strong Customer Authentication, exigence PSD2 d'authentification forte du client (3D Secure).</w:t>
      </w:r>
    </w:p>
    <w:p>
      <w:pPr>
        <w:pStyle w:val="Heading2"/>
        <w:spacing w:after="120" w:before="240"/>
      </w:pPr>
      <w:r>
        <w:rPr>
          <w:b/>
          <w:bCs/>
          <w:color w:val="1B3A57"/>
          <w:sz w:val="28"/>
          <w:szCs w:val="28"/>
        </w:rPr>
        <w:t xml:space="preserve">Annexe 2 — Documents associés au cahier des charges</w:t>
      </w:r>
    </w:p>
    <w:p>
      <w:pPr>
        <w:pStyle w:val="ListParagraph"/>
        <w:numPr>
          <w:ilvl w:val="0"/>
          <w:numId w:val="2"/>
        </w:numPr>
        <w:spacing w:after="30" w:before="30"/>
      </w:pPr>
      <w:r>
        <w:rPr>
          <w:b/>
          <w:bCs/>
        </w:rPr>
        <w:t xml:space="preserve">Devis D-2026-003 </w:t>
      </w:r>
      <w:r>
        <w:t xml:space="preserve">(émis le 22 avril 2026)</w:t>
      </w:r>
    </w:p>
    <w:p>
      <w:pPr>
        <w:pStyle w:val="ListParagraph"/>
        <w:numPr>
          <w:ilvl w:val="0"/>
          <w:numId w:val="2"/>
        </w:numPr>
        <w:spacing w:after="30" w:before="30"/>
      </w:pPr>
      <w:r>
        <w:rPr>
          <w:b/>
          <w:bCs/>
        </w:rPr>
        <w:t xml:space="preserve">Référentiel des flux fonctionnels V2 </w:t>
      </w:r>
      <w:r>
        <w:t xml:space="preserve">(annexe technique exhaustive, ~350 flux détaillés)</w:t>
      </w:r>
    </w:p>
    <w:p>
      <w:pPr>
        <w:pStyle w:val="ListParagraph"/>
        <w:numPr>
          <w:ilvl w:val="0"/>
          <w:numId w:val="2"/>
        </w:numPr>
        <w:spacing w:after="30" w:before="30"/>
      </w:pPr>
      <w:r>
        <w:rPr>
          <w:b/>
          <w:bCs/>
        </w:rPr>
        <w:t xml:space="preserve">Architecture technique V2 </w:t>
      </w:r>
      <w:r>
        <w:t xml:space="preserve">(annexe technique : modèle de données, machine à états, threat model, déploiement, SLOs)</w:t>
      </w:r>
    </w:p>
    <w:p>
      <w:pPr>
        <w:pStyle w:val="ListParagraph"/>
        <w:numPr>
          <w:ilvl w:val="0"/>
          <w:numId w:val="2"/>
        </w:numPr>
        <w:spacing w:after="30" w:before="30"/>
      </w:pPr>
      <w:r>
        <w:rPr>
          <w:b/>
          <w:bCs/>
        </w:rPr>
        <w:t xml:space="preserve">Design intégration Kasier V2 </w:t>
      </w:r>
      <w:r>
        <w:t xml:space="preserve">(annexe technique : couche d'abstraction, mock, demandes formelles à Kasier)</w:t>
      </w:r>
    </w:p>
    <w:p>
      <w:pPr>
        <w:pStyle w:val="ListParagraph"/>
        <w:numPr>
          <w:ilvl w:val="0"/>
          <w:numId w:val="2"/>
        </w:numPr>
        <w:spacing w:after="30" w:before="30"/>
      </w:pPr>
      <w:r>
        <w:rPr>
          <w:b/>
          <w:bCs/>
        </w:rPr>
        <w:t xml:space="preserve">Plan de tests et déploiement V2 </w:t>
      </w:r>
      <w:r>
        <w:t xml:space="preserve">(annexe technique : pyramide de tests, CI/CD, environnements, runbooks, plan de continuité)</w:t>
      </w:r>
    </w:p>
    <w:p>
      <w:pPr>
        <w:pStyle w:val="ListParagraph"/>
        <w:numPr>
          <w:ilvl w:val="0"/>
          <w:numId w:val="2"/>
        </w:numPr>
        <w:spacing w:after="30" w:before="30"/>
      </w:pPr>
      <w:r>
        <w:rPr>
          <w:b/>
          <w:bCs/>
        </w:rPr>
        <w:t xml:space="preserve">Brief technique V2 </w:t>
      </w:r>
      <w:r>
        <w:t xml:space="preserve">(document technique de référence pour le développement)</w:t>
      </w:r>
    </w:p>
    <w:p>
      <w:pPr>
        <w:pStyle w:val="Heading2"/>
        <w:spacing w:after="120" w:before="240"/>
      </w:pPr>
      <w:r>
        <w:rPr>
          <w:b/>
          <w:bCs/>
          <w:color w:val="1B3A57"/>
          <w:sz w:val="28"/>
          <w:szCs w:val="28"/>
        </w:rPr>
        <w:t xml:space="preserve">Annexe 3 — Liste des décisions structurantes à acter en Phase 1</w:t>
      </w:r>
    </w:p>
    <w:p>
      <w:pPr>
        <w:spacing w:after="80" w:before="80"/>
      </w:pPr>
      <w:r>
        <w:rPr>
          <w:b w:val="false"/>
          <w:bCs w:val="false"/>
          <w:i w:val="false"/>
          <w:iCs w:val="false"/>
          <w:color w:val="000000"/>
          <w:sz w:val="22"/>
          <w:szCs w:val="22"/>
        </w:rPr>
        <w:t xml:space="preserve">Une liste consolidée de 21 décisions fonctionnelles (D1 à D21) et de 16 décisions techniques (T1 à T16) est documentée dans le Référentiel des flux V2 et l'Architecture technique V2. Ces décisions seront tranchées conjointement durant la Phase 1 et formalisées dans un compte-rendu signé.</w:t>
      </w:r>
    </w:p>
    <w:p>
      <w:pPr>
        <w:pStyle w:val="Heading2"/>
        <w:spacing w:after="120" w:before="240"/>
      </w:pPr>
      <w:r>
        <w:rPr>
          <w:b/>
          <w:bCs/>
          <w:color w:val="1B3A57"/>
          <w:sz w:val="28"/>
          <w:szCs w:val="28"/>
        </w:rPr>
        <w:t xml:space="preserve">Annexe 4 — Hypothèses fortes du projet</w:t>
      </w:r>
    </w:p>
    <w:p>
      <w:pPr>
        <w:pStyle w:val="ListParagraph"/>
        <w:numPr>
          <w:ilvl w:val="0"/>
          <w:numId w:val="2"/>
        </w:numPr>
        <w:spacing w:after="30" w:before="30"/>
      </w:pPr>
      <w:r>
        <w:t xml:space="preserve">Le fournisseur Kasier.fr expose une API documentée, accessible et stable</w:t>
      </w:r>
    </w:p>
    <w:p>
      <w:pPr>
        <w:pStyle w:val="ListParagraph"/>
        <w:numPr>
          <w:ilvl w:val="0"/>
          <w:numId w:val="2"/>
        </w:numPr>
        <w:spacing w:after="30" w:before="30"/>
      </w:pPr>
      <w:r>
        <w:t xml:space="preserve">Stripe accepte la pré-autorisation pour le montant total des cautions prévues</w:t>
      </w:r>
    </w:p>
    <w:p>
      <w:pPr>
        <w:pStyle w:val="ListParagraph"/>
        <w:numPr>
          <w:ilvl w:val="0"/>
          <w:numId w:val="2"/>
        </w:numPr>
        <w:spacing w:after="30" w:before="30"/>
      </w:pPr>
      <w:r>
        <w:t xml:space="preserve">La connectivité réseau du site pilote est fiable</w:t>
      </w:r>
    </w:p>
    <w:p>
      <w:pPr>
        <w:pStyle w:val="ListParagraph"/>
        <w:numPr>
          <w:ilvl w:val="0"/>
          <w:numId w:val="2"/>
        </w:numPr>
        <w:spacing w:after="30" w:before="30"/>
      </w:pPr>
      <w:r>
        <w:t xml:space="preserve">Un seul site pilote est exploité dans le cadre du MVP</w:t>
      </w:r>
    </w:p>
    <w:p>
      <w:pPr>
        <w:pStyle w:val="ListParagraph"/>
        <w:numPr>
          <w:ilvl w:val="0"/>
          <w:numId w:val="2"/>
        </w:numPr>
        <w:spacing w:after="30" w:before="30"/>
      </w:pPr>
      <w:r>
        <w:t xml:space="preserve">Une session de location concerne un seul outil ou un pack prédéfini</w:t>
      </w:r>
    </w:p>
    <w:p>
      <w:pPr>
        <w:pStyle w:val="ListParagraph"/>
        <w:numPr>
          <w:ilvl w:val="0"/>
          <w:numId w:val="2"/>
        </w:numPr>
        <w:spacing w:after="30" w:before="30"/>
      </w:pPr>
      <w:r>
        <w:t xml:space="preserve">La plage horaire d'ouverture du dispositif est étendue mais non 24h/24</w:t>
      </w:r>
    </w:p>
    <w:p>
      <w:pPr>
        <w:pStyle w:val="ListParagraph"/>
        <w:numPr>
          <w:ilvl w:val="0"/>
          <w:numId w:val="2"/>
        </w:numPr>
        <w:spacing w:after="30" w:before="30"/>
      </w:pPr>
      <w:r>
        <w:t xml:space="preserve">La langue de l'application est le français au démarrage (multi-langue en évolution future)</w:t>
      </w:r>
    </w:p>
    <w:p>
      <w:pPr>
        <w:pStyle w:val="ListParagraph"/>
        <w:numPr>
          <w:ilvl w:val="0"/>
          <w:numId w:val="2"/>
        </w:numPr>
        <w:spacing w:after="30" w:before="30"/>
      </w:pPr>
      <w:r>
        <w:t xml:space="preserve">Le contenu textuel et visuel est fourni par le maître d'ouvrage</w:t>
      </w:r>
    </w:p>
    <w:p>
      <w:r>
        <w:t xml:space="preserve"/>
      </w:r>
    </w:p>
    <w:p>
      <w:r>
        <w:t xml:space="preserve"/>
      </w:r>
    </w:p>
    <w:p>
      <w:pPr>
        <w:spacing w:after="80" w:before="80"/>
        <w:jc w:val="center"/>
      </w:pPr>
      <w:r>
        <w:rPr>
          <w:b w:val="false"/>
          <w:bCs w:val="false"/>
          <w:i/>
          <w:iCs/>
          <w:color w:val="555555"/>
          <w:sz w:val="20"/>
          <w:szCs w:val="20"/>
        </w:rPr>
        <w:t xml:space="preserve">— Fin du cahier des charges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8"/>
        <w:szCs w:val="18"/>
      </w:rPr>
      <w:t xml:space="preserve">CSHM Groupe &amp; THILLION Agency — Avril 2026 — Page </w:t>
    </w:r>
    <w:r>
      <w:rPr>
        <w:color w:val="555555"/>
        <w:sz w:val="18"/>
        <w:szCs w:val="18"/>
      </w:rPr>
      <w:fldChar w:fldCharType="begin"/>
      <w:instrText xml:space="preserve">PAGE</w:instrText>
      <w:fldChar w:fldCharType="separate"/>
      <w:fldChar w:fldCharType="end"/>
    </w:r>
    <w:r>
      <w:rPr>
        <w:color w:val="555555"/>
        <w:sz w:val="18"/>
        <w:szCs w:val="18"/>
      </w:rPr>
      <w:t xml:space="preserve"> / </w:t>
    </w:r>
    <w:r>
      <w:rPr>
        <w:color w:val="555555"/>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555555"/>
        <w:sz w:val="18"/>
        <w:szCs w:val="18"/>
      </w:rPr>
      <w:t xml:space="preserve">Cahier des charges — Projet Toolbox24 — 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Calibri" w:cs="Calibri" w:eastAsia="Calibri" w:hAnsi="Calibri"/>
      <w:b/>
      <w:bCs/>
      <w:color w:val="1B3A57"/>
      <w:sz w:val="36"/>
      <w:szCs w:val="36"/>
    </w:rPr>
  </w:style>
  <w:style w:type="paragraph" w:styleId="Heading2">
    <w:name w:val="Heading 2"/>
    <w:basedOn w:val="Normal"/>
    <w:next w:val="Normal"/>
    <w:qFormat/>
    <w:pPr>
      <w:spacing w:after="120" w:before="240"/>
      <w:outlineLvl w:val="1"/>
    </w:pPr>
    <w:rPr>
      <w:rFonts w:ascii="Calibri" w:cs="Calibri" w:eastAsia="Calibri" w:hAnsi="Calibri"/>
      <w:b/>
      <w:bCs/>
      <w:color w:val="1B3A57"/>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E07B2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Toolbox24 — Cahier des charges</dc:title>
  <dc:creator>Thillion Agency — Guillaume Boudon</dc:creator>
  <dc:description>Cahier des charges fonctionnel et technique signable</dc:description>
  <cp:lastModifiedBy>Un-named</cp:lastModifiedBy>
  <cp:revision>1</cp:revision>
  <dcterms:created xsi:type="dcterms:W3CDTF">2026-04-29T23:48:14.090Z</dcterms:created>
  <dcterms:modified xsi:type="dcterms:W3CDTF">2026-04-29T23:48:14.090Z</dcterms:modified>
</cp:coreProperties>
</file>

<file path=docProps/custom.xml><?xml version="1.0" encoding="utf-8"?>
<Properties xmlns="http://schemas.openxmlformats.org/officeDocument/2006/custom-properties" xmlns:vt="http://schemas.openxmlformats.org/officeDocument/2006/docPropsVTypes"/>
</file>