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color w:val="1F3A93"/>
          <w:sz w:val="22"/>
          <w:szCs w:val="22"/>
        </w:rPr>
        <w:t xml:space="preserve">THILLION AGENCY</w:t>
      </w:r>
    </w:p>
    <w:p>
      <w:pPr>
        <w:spacing w:after="800"/>
      </w:pPr>
      <w:r>
        <w:rPr>
          <w:i/>
          <w:iCs/>
          <w:color w:val="595959"/>
          <w:sz w:val="18"/>
          <w:szCs w:val="18"/>
        </w:rPr>
        <w:t xml:space="preserve">Marketing Digital · Développement · Automatisation IA</w:t>
      </w:r>
    </w:p>
    <w:p>
      <w:pPr>
        <w:spacing w:after="240"/>
      </w:pPr>
      <w:r>
        <w:rPr>
          <w:b/>
          <w:bCs/>
          <w:color w:val="1F1F1F"/>
          <w:sz w:val="24"/>
          <w:szCs w:val="24"/>
        </w:rPr>
        <w:t xml:space="preserve">CAHIER DES CHARGES</w:t>
      </w:r>
    </w:p>
    <w:p>
      <w:pPr>
        <w:spacing w:after="240"/>
      </w:pPr>
      <w:r>
        <w:rPr>
          <w:b/>
          <w:bCs/>
          <w:color w:val="1F3A93"/>
          <w:sz w:val="44"/>
          <w:szCs w:val="44"/>
        </w:rPr>
        <w:t xml:space="preserve">Projet TOOLBOX24</w:t>
      </w:r>
    </w:p>
    <w:p>
      <w:pPr>
        <w:spacing w:after="600"/>
      </w:pPr>
      <w:r>
        <w:rPr>
          <w:i/>
          <w:iCs/>
          <w:color w:val="595959"/>
          <w:sz w:val="22"/>
          <w:szCs w:val="22"/>
        </w:rPr>
        <w:t xml:space="preserve">Plateforme de location libre-service d'outillage professionnel — MVP</w:t>
      </w:r>
    </w:p>
    <w:p>
      <w:pPr>
        <w:pBdr>
          <w:bottom w:val="single" w:color="1F3A93" w:sz="6" w:space="1"/>
        </w:pBdr>
        <w:spacing w:after="80" w:before="80"/>
      </w:pPr>
      <w:r>
        <w:t xml:space="preserve"/>
      </w:r>
    </w:p>
    <w:p>
      <w:pPr>
        <w:spacing w:after="60"/>
      </w:pPr>
      <w:r>
        <w:rPr>
          <w:b/>
          <w:bCs/>
          <w:color w:val="1F3A93"/>
          <w:sz w:val="22"/>
          <w:szCs w:val="22"/>
        </w:rPr>
        <w:t xml:space="preserve">Maître d'ouvrage</w:t>
      </w:r>
    </w:p>
    <w:p>
      <w:pPr>
        <w:spacing w:after="120" w:line="320"/>
      </w:pPr>
      <w:r>
        <w:t xml:space="preserve">CSHM Groupe — Toolbox24</w:t>
      </w:r>
    </w:p>
    <w:p>
      <w:pPr>
        <w:spacing w:after="120" w:line="320"/>
      </w:pPr>
      <w:r>
        <w:t xml:space="preserve">Représenté par Cédric Thibaudet</w:t>
      </w:r>
    </w:p>
    <w:p>
      <w:pPr>
        <w:spacing w:after="60" w:before="240"/>
      </w:pPr>
      <w:r>
        <w:rPr>
          <w:b/>
          <w:bCs/>
          <w:color w:val="1F3A93"/>
          <w:sz w:val="22"/>
          <w:szCs w:val="22"/>
        </w:rPr>
        <w:t xml:space="preserve">Maître d'œuvre</w:t>
      </w:r>
    </w:p>
    <w:p>
      <w:pPr>
        <w:spacing w:after="120" w:line="320"/>
      </w:pPr>
      <w:r>
        <w:t xml:space="preserve">THILLION AGENCY</w:t>
      </w:r>
    </w:p>
    <w:p>
      <w:pPr>
        <w:spacing w:after="120" w:line="320"/>
      </w:pPr>
      <w:r>
        <w:t xml:space="preserve">Représenté par Guillaume Boudon</w:t>
      </w:r>
    </w:p>
    <w:p>
      <w:pPr>
        <w:spacing w:after="120" w:line="320"/>
      </w:pPr>
      <w:r>
        <w:t xml:space="preserve">guillaume.boudon@thillion-agency.com</w:t>
      </w:r>
    </w:p>
    <w:p>
      <w:pPr>
        <w:pBdr>
          <w:bottom w:val="single" w:color="1F3A93" w:sz="6" w:space="1"/>
        </w:pBdr>
        <w:spacing w:after="80" w:before="80"/>
      </w:pPr>
      <w:r>
        <w:t xml:space="preserve"/>
      </w:r>
    </w:p>
    <w:p>
      <w:pPr>
        <w:spacing w:before="360"/>
      </w:pPr>
      <w:r>
        <w:rPr>
          <w:i/>
          <w:iCs/>
          <w:color w:val="595959"/>
          <w:sz w:val="20"/>
          <w:szCs w:val="20"/>
        </w:rPr>
        <w:t xml:space="preserve">Référence : D-2026-003 · Version 3.0 — Mai 2026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1F3A93"/>
          <w:sz w:val="32"/>
          <w:szCs w:val="32"/>
        </w:rPr>
        <w:t xml:space="preserve">1. Préambule</w:t>
      </w:r>
    </w:p>
    <w:p>
      <w:pPr>
        <w:spacing w:after="120" w:line="320"/>
      </w:pPr>
      <w:r>
        <w:t xml:space="preserve">Le présent cahier des charges décrit les spécifications fonctionnelles, techniques et contractuelles du MVP de la plateforme Toolbox24, développée par Thillion Agency pour le compte de CSHM Groupe.</w:t>
      </w:r>
    </w:p>
    <w:p>
      <w:pPr>
        <w:spacing w:after="120" w:line="320"/>
      </w:pPr>
      <w:r>
        <w:t xml:space="preserve">Il constitue le document contractuel de référence du projet. Les annexes techniques et fonctionnelles, listées en §10, le complètent à titre d'information opérationnelle.</w:t>
      </w:r>
    </w:p>
    <w:p>
      <w:pPr>
        <w:spacing w:after="120" w:line="320"/>
      </w:pPr>
      <w:r>
        <w:t xml:space="preserve">Toute évolution post-signature fait l'objet d'un avenant écrit signé par les deux parties.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Documents associés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Devis D-2026-003 du 22 avril 2026 — 6 083,33 € HT (7 300 € TTC)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Document Fonctionnalités — vue produit complète à destination du client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Plan de mise en service — checklist GO/NO-GO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Brief technique consolidé — document interne d'exécution Thillion</w:t>
      </w:r>
    </w:p>
    <w:p>
      <w:pPr>
        <w:pStyle w:val="Heading1"/>
        <w:spacing w:after="180" w:before="360"/>
      </w:pPr>
      <w:r>
        <w:rPr>
          <w:b/>
          <w:bCs/>
          <w:color w:val="1F3A93"/>
          <w:sz w:val="32"/>
          <w:szCs w:val="32"/>
        </w:rPr>
        <w:t xml:space="preserve">2. Contexte et enjeux</w:t>
      </w:r>
    </w:p>
    <w:p>
      <w:pPr>
        <w:spacing w:after="120" w:line="320"/>
      </w:pPr>
      <w:r>
        <w:t xml:space="preserve">CSHM Groupe développe Toolbox24, un service de location libre-service d'outillage professionnel destiné aux artisans, entreprises du BTP et particuliers. Le service repose sur un dispositif physique : un container/sas sécurisé équipé de casiers connectés, accessible 7 jours sur 7 sur une plage horaire étendue, sans intermédiaire humain sur place.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Cibles utilisateur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B2B — professionnels du BTP, artisans, services techniques. Besoin ponctuel sans immobilisation de capital.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B2C — particuliers, bricoleurs, propriétaires en rénovation. Besoin occasionnel d'un outil professionnel.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Modèle économique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Revenu transactionnel : tarifs paramétrables à l'heure / demi-journée / journée / semaine.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Revenu récurrent : abonnement professionnel mensuel donnant un discount sur les locations.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Caution : pré-autorisée à la réservation, capturée en partie ou totalité en cas de dégradation.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Vente de consommables : casiers dédiés à la vente directe sans caution.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Vision déploiement</w:t>
      </w:r>
    </w:p>
    <w:p>
      <w:pPr>
        <w:spacing w:after="120" w:line="320"/>
      </w:pPr>
      <w:r>
        <w:t xml:space="preserve">Site pilote en septembre/octobre 2026, puis déploiement progressif vers un réseau multi-sites (10, 50, 100 sites). Toutes les décisions techniques tiennent compte de cette vision long terme.</w:t>
      </w:r>
    </w:p>
    <w:p>
      <w:pPr>
        <w:pStyle w:val="Heading1"/>
        <w:spacing w:after="180" w:before="360"/>
      </w:pPr>
      <w:r>
        <w:rPr>
          <w:b/>
          <w:bCs/>
          <w:color w:val="1F3A93"/>
          <w:sz w:val="32"/>
          <w:szCs w:val="32"/>
        </w:rPr>
        <w:t xml:space="preserve">3. Périmètre du projet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3.1 Inclus dans le devis D-2026-003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Plateforme web responsive (PWA) et back-office administrateur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Parcours complet de location : réservation, retrait, restitution, validation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Gestion des packs multi-outils prédéfinis (1 session = N items)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Abonnement professionnel récurrent avec discount sur locations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Pré-autorisation et capture Stripe, gestion de la caution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Moteur de scoring multi-signal (capteurs + analyse photo + signalement) en aide à la décision opérateur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Validation humaine systématique des restitutions sous 12 à 24 heures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Notifications multi-canales (email, SMS, push PWA)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Vente de consommables sans caution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Reporting essentiel et export comptable mensuel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Architecture multi-sites prête (un seul site exploité au MVP)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Conformité RGPD côté plateforme et conformité PCI-DSS SAQ-A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Mise en production, recette, garantie 3 mois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3.2 Hors périmètre — chiffrable en option</w:t>
      </w:r>
    </w:p>
    <w:p>
      <w:pPr>
        <w:spacing w:after="120" w:line="320"/>
      </w:pPr>
      <w:r>
        <w:rPr>
          <w:i/>
          <w:iCs/>
          <w:color w:val="595959"/>
        </w:rPr>
        <w:t xml:space="preserve">Les éléments suivants ne font pas partie du devis. Toute intégration ultérieure fera l'objet d'un avenant chiffré séparément.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Application mobile native iOS / Android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Comptes B2B multi-utilisateurs avec workflow d'approbation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Caution off-session permanente (mandat unique multi-sessions)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File prioritaire de réservation pour abonnés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Constructor de pack libre par l'utilisateur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Modèle de vision IA entraîné sur mesure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Tarification dynamique (yield management)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Gestion multi-sites avancée côté UX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Outils de support intégrés (chat, ticketing)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Migration de données depuis un système existant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Production de contenus marketing et acquisition utilisateur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1F3A93"/>
          <w:sz w:val="32"/>
          <w:szCs w:val="32"/>
        </w:rPr>
        <w:t xml:space="preserve">4. Description fonctionnelle</w:t>
      </w:r>
    </w:p>
    <w:p>
      <w:pPr>
        <w:spacing w:after="120" w:line="320"/>
      </w:pPr>
      <w:r>
        <w:t xml:space="preserve">Le détail fonctionnalité par fonctionnalité est fourni dans le document « Fonctionnalités » associé. Cette section synthétise les parcours principaux.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4.1 Parcours utilisateur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Création de compte (B2C ou B2B avec SIRET et vérification automatique)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Consultation du catalogue : outils individuels et packs prédéfinis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Sélection du créneau, calcul du prix avec discounts éventuels (B2B, abonnement, pack)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Pré-autorisation Stripe (prix + caution), confirmation multi-canale, code PIN par SMS H-30 min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Authentification borne (QR ou PIN), ouverture du sas, retrait séquentiel des outils avec photos d'état initial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Démarrage du compteur de location une fois tous les outils retirés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Action « Je retourne le matériel » dans l'application, ouverture séquentielle des casiers de retour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Photos finales, vidéo de restitution, signalement utilisateur, validation et upload des médias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Statut « en attente de validation » avec délai annoncé 12-24 h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Décision opérateur item par item : libération, capture partielle, capture totale, complément ou escalade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4.2 Validation humaine de la caution</w:t>
      </w:r>
    </w:p>
    <w:p>
      <w:pPr>
        <w:spacing w:after="120" w:line="320"/>
      </w:pPr>
      <w:r>
        <w:t xml:space="preserve">Aucune décision financière n'est entièrement automatisée. Le moteur de scoring multi-signal produit un statut Vert / Orange / Rouge et une justification ; un opérateur tranche systématiquement, par item dans le cas d'un pack.</w:t>
      </w:r>
    </w:p>
    <w:p>
      <w:pPr>
        <w:spacing w:after="120" w:line="320"/>
      </w:pPr>
      <w:r>
        <w:t xml:space="preserve">La libération effective de la caution intervient sous 12 à 24 heures suivant la décision opérateur. L'utilisateur retrouve l'usage de son montant sous 3 à 5 jours bancaires (délai propre à chaque banque).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4.3 Engagement opérationnel d'astreinte</w:t>
      </w:r>
    </w:p>
    <w:p>
      <w:pPr>
        <w:spacing w:after="120" w:line="320"/>
      </w:pPr>
      <w:r>
        <w:t xml:space="preserve">Le bon fonctionnement du service repose sur une validation humaine quotidienne sous 24 heures. Le maître d'ouvrage s'engage à assurer la disponibilité d'un opérateur 7 jours sur 7 à compter du GO LIVE. À défaut, l'accumulation de restitutions non validées dégraderait l'expérience client et l'engagement contractuel envers les utilisateurs.</w:t>
      </w:r>
    </w:p>
    <w:p>
      <w:pPr>
        <w:pStyle w:val="Heading1"/>
        <w:spacing w:after="180" w:before="360"/>
      </w:pPr>
      <w:r>
        <w:rPr>
          <w:b/>
          <w:bCs/>
          <w:color w:val="1F3A93"/>
          <w:sz w:val="32"/>
          <w:szCs w:val="32"/>
        </w:rPr>
        <w:t xml:space="preserve">5. Spécifications techniques</w:t>
      </w:r>
    </w:p>
    <w:p>
      <w:pPr>
        <w:spacing w:after="120" w:line="320"/>
      </w:pPr>
      <w:r>
        <w:t xml:space="preserve">La spécification détaillée est consolidée dans le Brief technique interne. Cette section reprend les choix structurants pour information du maître d'ouvrage.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5.1 Architecture</w:t>
      </w:r>
    </w:p>
    <w:p>
      <w:pPr>
        <w:spacing w:after="120" w:line="320"/>
      </w:pPr>
      <w:r>
        <w:t xml:space="preserve">Application web monolithique Next.js déployée sur Vercel, exposant à la fois l'interface utilisateur PWA, le back-office administrateur et l'API métier. Persistance Supabase (Postgres managé), stockage médias Cloudflare R2, jobs Inngest, paiement Stripe, vision IA OpenAI gpt-4o-mini, notifications Resend (email) et Brevo (SMS).</w:t>
      </w:r>
    </w:p>
    <w:p>
      <w:pPr>
        <w:spacing w:after="120" w:line="320"/>
      </w:pPr>
      <w:r>
        <w:t xml:space="preserve">Conception multi-sites par construction : sécurité par Row Level Security, identification site_id sur toutes les entités.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5.2 Sécurité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PCI-DSS niveau SAQ-A — toute saisie carte gérée par Stripe Elements, aucune donnée carte ne transite par nos serveurs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Authentification à deux facteurs (TOTP) obligatoire pour tous les comptes administrateurs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Row Level Security sur toutes les tables sensibles, vérifié à chaque requête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Rate limiting par utilisateur et IP sur les endpoints sensibles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Headers de sécurité standards (CSP, HSTS), HTTPS forcé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Signature HMAC-SHA256 sur les communications avec la borne, rotation des clés tous les 30 jours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Audit log append-only sur toutes les actions sensibles (RLS + trigger Postgres)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Médias avec EXIF strippé, hash SHA-256, signed URLs courte durée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5.3 Niveaux de service (SLO MVP)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rPr>
          <w:tblHeader/>
        </w:trP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Indicateur</w:t>
            </w:r>
          </w:p>
        </w:tc>
        <w:tc>
          <w:tcPr>
            <w:tcW w:type="dxa" w:w="4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Cible MVP</w:t>
            </w:r>
          </w:p>
        </w:tc>
      </w:tr>
      <w:tr>
        <w:trPr>
          <w:tblHeader w:val="false"/>
        </w:trP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Disponibilité globale</w:t>
            </w:r>
          </w:p>
        </w:tc>
        <w:tc>
          <w:tcPr>
            <w:tcW w:type="dxa" w:w="4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99,5 % mensuel</w:t>
            </w:r>
          </w:p>
        </w:tc>
      </w:tr>
      <w:tr>
        <w:trPr>
          <w:tblHeader w:val="false"/>
        </w:trP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Latence catalogue (p95)</w:t>
            </w:r>
          </w:p>
        </w:tc>
        <w:tc>
          <w:tcPr>
            <w:tcW w:type="dxa" w:w="4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&lt; 500 ms</w:t>
            </w:r>
          </w:p>
        </w:tc>
      </w:tr>
      <w:tr>
        <w:trPr>
          <w:tblHeader w:val="false"/>
        </w:trP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Latence réservation pack (p95)</w:t>
            </w:r>
          </w:p>
        </w:tc>
        <w:tc>
          <w:tcPr>
            <w:tcW w:type="dxa" w:w="4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&lt; 2 000 ms</w:t>
            </w:r>
          </w:p>
        </w:tc>
      </w:tr>
      <w:tr>
        <w:trPr>
          <w:tblHeader w:val="false"/>
        </w:trP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Latence ouverture casier (p95)</w:t>
            </w:r>
          </w:p>
        </w:tc>
        <w:tc>
          <w:tcPr>
            <w:tcW w:type="dxa" w:w="4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&lt; 2 s</w:t>
            </w:r>
          </w:p>
        </w:tc>
      </w:tr>
      <w:tr>
        <w:trPr>
          <w:tblHeader w:val="false"/>
        </w:trP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Taux d'erreur 5xx</w:t>
            </w:r>
          </w:p>
        </w:tc>
        <w:tc>
          <w:tcPr>
            <w:tcW w:type="dxa" w:w="4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&lt; 0,5 %</w:t>
            </w:r>
          </w:p>
        </w:tc>
      </w:tr>
      <w:tr>
        <w:trPr>
          <w:tblHeader w:val="false"/>
        </w:trP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Délai libération caution post-validation</w:t>
            </w:r>
          </w:p>
        </w:tc>
        <w:tc>
          <w:tcPr>
            <w:tcW w:type="dxa" w:w="4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&lt; 1 h</w:t>
            </w:r>
          </w:p>
        </w:tc>
      </w:tr>
    </w:tbl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1F3A93"/>
          <w:sz w:val="32"/>
          <w:szCs w:val="32"/>
        </w:rPr>
        <w:t xml:space="preserve">6. Planning et jalons</w:t>
      </w:r>
    </w:p>
    <w:p>
      <w:pPr>
        <w:spacing w:after="120" w:line="320"/>
      </w:pPr>
      <w:r>
        <w:t xml:space="preserve">Engagement contractuel : 3 mois de développement à compter de la signature du présent cahier des charges et de l'arbitrage des décisions Phase 1 (cf. §7).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5400"/>
        <w:gridCol w:w="1560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Phase</w:t>
            </w:r>
          </w:p>
        </w:tc>
        <w:tc>
          <w:tcPr>
            <w:tcW w:type="dxa" w:w="5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Contenu</w:t>
            </w:r>
          </w:p>
        </w:tc>
        <w:tc>
          <w:tcPr>
            <w:tcW w:type="dxa" w:w="1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Durée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Phase 1 — Cadrage</w:t>
            </w:r>
          </w:p>
        </w:tc>
        <w:tc>
          <w:tcPr>
            <w:tcW w:type="dxa" w:w="5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Arbitrage des décisions fonctionnelles avec Cédric, validation du backlog Phase 3</w:t>
            </w:r>
          </w:p>
        </w:tc>
        <w:tc>
          <w:tcPr>
            <w:tcW w:type="dxa" w:w="1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S1-S2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Phase 2 — UX/UI</w:t>
            </w:r>
          </w:p>
        </w:tc>
        <w:tc>
          <w:tcPr>
            <w:tcW w:type="dxa" w:w="5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Maquettes des écrans clés (parcours utilisateur, back-office)</w:t>
            </w:r>
          </w:p>
        </w:tc>
        <w:tc>
          <w:tcPr>
            <w:tcW w:type="dxa" w:w="1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S3-S4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Phase 3 — Développement</w:t>
            </w:r>
          </w:p>
        </w:tc>
        <w:tc>
          <w:tcPr>
            <w:tcW w:type="dxa" w:w="5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Développement de la plateforme selon découpage hebdomadaire</w:t>
            </w:r>
          </w:p>
        </w:tc>
        <w:tc>
          <w:tcPr>
            <w:tcW w:type="dxa" w:w="1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S5-S11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Phase 4 — Stabilisation</w:t>
            </w:r>
          </w:p>
        </w:tc>
        <w:tc>
          <w:tcPr>
            <w:tcW w:type="dxa" w:w="5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Tests de bout en bout, recette technique, corrections</w:t>
            </w:r>
          </w:p>
        </w:tc>
        <w:tc>
          <w:tcPr>
            <w:tcW w:type="dxa" w:w="1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S12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Phase 5 — GO LIVE</w:t>
            </w:r>
          </w:p>
        </w:tc>
        <w:tc>
          <w:tcPr>
            <w:tcW w:type="dxa" w:w="5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Déploiement production, mise en service, monitoring intensif</w:t>
            </w:r>
          </w:p>
        </w:tc>
        <w:tc>
          <w:tcPr>
            <w:tcW w:type="dxa" w:w="1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S13</w:t>
            </w:r>
          </w:p>
        </w:tc>
      </w:tr>
    </w:tbl>
    <w:p>
      <w:pPr>
        <w:spacing w:after="120" w:line="320"/>
      </w:pPr>
      <w:r>
        <w:rPr>
          <w:i/>
          <w:iCs/>
          <w:color w:val="595959"/>
        </w:rPr>
        <w:t xml:space="preserve">Cinq jalons majeurs : validation des spécifications (fin S2), validation UX (fin S4), première démonstration fonctionnelle (S8), recette technique (S12), GO LIVE (S13).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Conditions de tenue du planning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Décisions fonctionnelles arbitrées sous 2 semaines après signature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Maquettes UX validées sous 1 semaine après livraison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Pas de demande d'évolution majeure en cours de Phase 3 (gérée en avenant)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Disponibilité du maître d'ouvrage pour les jalons et les démonstrations</w:t>
      </w:r>
    </w:p>
    <w:p>
      <w:pPr>
        <w:pStyle w:val="Heading1"/>
        <w:spacing w:after="180" w:before="360"/>
      </w:pPr>
      <w:r>
        <w:rPr>
          <w:b/>
          <w:bCs/>
          <w:color w:val="1F3A93"/>
          <w:sz w:val="32"/>
          <w:szCs w:val="32"/>
        </w:rPr>
        <w:t xml:space="preserve">7. Décisions à arbitrer en Phase 1</w:t>
      </w:r>
    </w:p>
    <w:p>
      <w:pPr>
        <w:spacing w:after="120" w:line="320"/>
      </w:pPr>
      <w:r>
        <w:t xml:space="preserve">Les décisions ci-dessous structurent le périmètre opérationnel. Elles sont à acter conjointement en Phase 1 (S1-S2).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200"/>
        <w:gridCol w:w="436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ID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Décision</w:t>
            </w:r>
          </w:p>
        </w:tc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Recommandation Thillion</w:t>
            </w:r>
          </w:p>
        </w:tc>
      </w:tr>
      <w:tr>
        <w:trPr>
          <w:tblHeader w:val="false"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D3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Outil de facturation conforme française</w:t>
            </w:r>
          </w:p>
        </w:tc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Pennylane (à confirmer avec l'expert-comptable)</w:t>
            </w:r>
          </w:p>
        </w:tc>
      </w:tr>
      <w:tr>
        <w:trPr>
          <w:tblHeader w:val="false"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D9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Stratégie de pré-autorisation Stripe</w:t>
            </w:r>
          </w:p>
        </w:tc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Pré-autorisation totale durée + caution</w:t>
            </w:r>
          </w:p>
        </w:tc>
      </w:tr>
      <w:tr>
        <w:trPr>
          <w:tblHeader w:val="false"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D12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Distribution du code PIN</w:t>
            </w:r>
          </w:p>
        </w:tc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SMS envoyé 30 minutes avant le créneau</w:t>
            </w:r>
          </w:p>
        </w:tc>
      </w:tr>
      <w:tr>
        <w:trPr>
          <w:tblHeader w:val="false"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D15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Politique multi-canal SMS</w:t>
            </w:r>
          </w:p>
        </w:tc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Restrictive : 3 SMS maximum par session</w:t>
            </w:r>
          </w:p>
        </w:tc>
      </w:tr>
      <w:tr>
        <w:trPr>
          <w:tblHeader w:val="false"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D16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Plan d'abonnement professionnel</w:t>
            </w:r>
          </w:p>
        </w:tc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Un plan unique au MVP (Pro Standard)</w:t>
            </w:r>
          </w:p>
        </w:tc>
      </w:tr>
      <w:tr>
        <w:trPr>
          <w:tblHeader w:val="false"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D17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Tarif et avantages exacts du plan</w:t>
            </w:r>
          </w:p>
        </w:tc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À fixer avec Cédric (prix mensuel, % de discount)</w:t>
            </w:r>
          </w:p>
        </w:tc>
      </w:tr>
      <w:tr>
        <w:trPr>
          <w:tblHeader w:val="false"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D18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Catalogue de packs initiaux</w:t>
            </w:r>
          </w:p>
        </w:tc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À définir avec Cédric (3 à 5 packs types BTP)</w:t>
            </w:r>
          </w:p>
        </w:tc>
      </w:tr>
      <w:tr>
        <w:trPr>
          <w:tblHeader w:val="false"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D4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Rétention des médias</w:t>
            </w:r>
          </w:p>
        </w:tc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90 jours après validation</w:t>
            </w:r>
          </w:p>
        </w:tc>
      </w:tr>
      <w:tr>
        <w:trPr>
          <w:tblHeader w:val="false"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D7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Porte du sas (matériel)</w:t>
            </w:r>
          </w:p>
        </w:tc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Kasier (à confirmer)</w:t>
            </w:r>
          </w:p>
        </w:tc>
      </w:tr>
      <w:tr>
        <w:trPr>
          <w:tblHeader w:val="false"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D10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Validation B2B au signup</w:t>
            </w:r>
          </w:p>
        </w:tc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Automatique via API Pappers</w:t>
            </w:r>
          </w:p>
        </w:tc>
      </w:tr>
    </w:tbl>
    <w:p>
      <w:pPr>
        <w:spacing w:after="120" w:line="320"/>
      </w:pPr>
      <w:r>
        <w:rPr>
          <w:i/>
          <w:iCs/>
          <w:color w:val="595959"/>
        </w:rPr>
        <w:t xml:space="preserve">La liste complète des 21 décisions structurantes (D1-D21) est consolidée dans le Brief technique interne et présentée à Cédric en Phase 1.</w:t>
      </w:r>
    </w:p>
    <w:p>
      <w:pPr>
        <w:pStyle w:val="Heading1"/>
        <w:spacing w:after="180" w:before="360"/>
      </w:pPr>
      <w:r>
        <w:rPr>
          <w:b/>
          <w:bCs/>
          <w:color w:val="1F3A93"/>
          <w:sz w:val="32"/>
          <w:szCs w:val="32"/>
        </w:rPr>
        <w:t xml:space="preserve">8. Conditions financières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8.1 Devis Thillion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60"/>
        <w:gridCol w:w="3000"/>
      </w:tblGrid>
      <w:tr>
        <w:trPr>
          <w:tblHeader/>
        </w:trPr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Poste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Montant</w:t>
            </w:r>
          </w:p>
        </w:tc>
      </w:tr>
      <w:tr>
        <w:trPr>
          <w:tblHeader w:val="false"/>
        </w:trPr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Développement plateforme Toolbox24 — MVP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6 083,33 € HT</w:t>
            </w:r>
          </w:p>
        </w:tc>
      </w:tr>
      <w:tr>
        <w:trPr>
          <w:tblHeader w:val="false"/>
        </w:trPr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TVA 20 %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1 216,67 €</w:t>
            </w:r>
          </w:p>
        </w:tc>
      </w:tr>
      <w:tr>
        <w:trPr>
          <w:tblHeader w:val="false"/>
        </w:trPr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Total TTC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7 300,00 €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8.2 Modalités de paiement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30 % à la signature du présent cahier des charges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40 % à la livraison de la recette technique (fin Phase 4)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30 % au GO LIVE (fin Phase 5)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8.3 Coûts à la charge du maître d'ouvrage</w:t>
      </w:r>
    </w:p>
    <w:p>
      <w:pPr>
        <w:spacing w:after="120" w:line="320"/>
      </w:pPr>
      <w:r>
        <w:t xml:space="preserve">Les coûts suivants sont à anticiper par CSHM Groupe en complément du devis Thillion 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0"/>
        <w:gridCol w:w="4000"/>
      </w:tblGrid>
      <w:tr>
        <w:trPr>
          <w:tblHeader/>
        </w:trPr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Poste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Estimation</w:t>
            </w:r>
          </w:p>
        </w:tc>
      </w:tr>
      <w:tr>
        <w:trPr>
          <w:tblHeader w:val="false"/>
        </w:trPr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Frais juridiques (CGU/CGV par avocat)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1 500 à 3 000 € HT</w:t>
            </w:r>
          </w:p>
        </w:tc>
      </w:tr>
      <w:tr>
        <w:trPr>
          <w:tblHeader w:val="false"/>
        </w:trPr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DPIA RGPD (par DPO)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1 000 à 3 000 € HT</w:t>
            </w:r>
          </w:p>
        </w:tc>
      </w:tr>
      <w:tr>
        <w:trPr>
          <w:tblHeader w:val="false"/>
        </w:trPr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Matériel Kasier (casiers, borne, installation)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Selon devis Kasier</w:t>
            </w:r>
          </w:p>
        </w:tc>
      </w:tr>
      <w:tr>
        <w:trPr>
          <w:tblHeader w:val="false"/>
        </w:trPr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Aménagement et sécurisation du site pilote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À chiffrer</w:t>
            </w:r>
          </w:p>
        </w:tc>
      </w:tr>
      <w:tr>
        <w:trPr>
          <w:tblHeader w:val="false"/>
        </w:trPr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Assurance professionnelle adaptée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À chiffrer</w:t>
            </w:r>
          </w:p>
        </w:tc>
      </w:tr>
      <w:tr>
        <w:trPr>
          <w:tblHeader w:val="false"/>
        </w:trPr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Coûts d'exploitation récurrents (hébergement, SaaS)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315 à 540 € HT/mois (1 site)</w:t>
            </w:r>
          </w:p>
        </w:tc>
      </w:tr>
      <w:tr>
        <w:trPr>
          <w:tblHeader w:val="false"/>
        </w:trPr>
        <w:tc>
          <w:tcPr>
            <w:tcW w:type="dxa" w:w="5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Maintenance Thillion post-garantie (avenant)</w:t>
            </w:r>
          </w:p>
        </w:tc>
        <w:tc>
          <w:tcPr>
            <w:tcW w:type="dxa" w:w="4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200 ou 250 € HT/mois (option)</w:t>
            </w:r>
          </w:p>
        </w:tc>
      </w:tr>
    </w:tbl>
    <w:p>
      <w:pPr>
        <w:pStyle w:val="Heading1"/>
        <w:spacing w:after="180" w:before="360"/>
      </w:pPr>
      <w:r>
        <w:rPr>
          <w:b/>
          <w:bCs/>
          <w:color w:val="1F3A93"/>
          <w:sz w:val="32"/>
          <w:szCs w:val="32"/>
        </w:rPr>
        <w:t xml:space="preserve">9. Recette et garantie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9.1 Critères de recette technique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Les 5 parcours critiques de bout en bout (réservation, paiement, retrait, retour, validation) sont fonctionnels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Les SLO du §5.3 sont vérifiés sur l'environnement de staging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Le moteur de scoring produit un statut V/O/R sur 100 % des restitutions de test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L'export comptable mensuel est généré sans erreur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Le back-office permet à un opérateur formé de traiter une file de validation complète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9.2 Garantie</w:t>
      </w:r>
    </w:p>
    <w:p>
      <w:pPr>
        <w:spacing w:after="120" w:line="320"/>
      </w:pPr>
      <w:r>
        <w:t xml:space="preserve">Une garantie de 3 mois suit le GO LIVE. Pendant cette période, Thillion corrige sans surcoût les anomalies bloquantes ou majeures imputables au développement, dans des délais raisonnables (P1 sous 24h ouvrées, P2 sous 5 jours ouvrés).</w:t>
      </w:r>
    </w:p>
    <w:p>
      <w:pPr>
        <w:spacing w:after="120" w:line="320"/>
      </w:pPr>
      <w:r>
        <w:t xml:space="preserve">Les évolutions fonctionnelles ne sont pas couvertes par la garantie : elles font l'objet d'un avenant ou d'un contrat de maintenance/évolution séparé.</w:t>
      </w:r>
    </w:p>
    <w:p>
      <w:r>
        <w:br w:type="page"/>
      </w:r>
    </w:p>
    <w:p>
      <w:pPr>
        <w:pStyle w:val="Heading1"/>
        <w:spacing w:after="180" w:before="360"/>
      </w:pPr>
      <w:r>
        <w:rPr>
          <w:b/>
          <w:bCs/>
          <w:color w:val="1F3A93"/>
          <w:sz w:val="32"/>
          <w:szCs w:val="32"/>
        </w:rPr>
        <w:t xml:space="preserve">10. Annexes documentaires</w:t>
      </w:r>
    </w:p>
    <w:p>
      <w:pPr>
        <w:spacing w:after="120" w:line="320"/>
      </w:pPr>
      <w:r>
        <w:t xml:space="preserve">Les documents suivants complètent le présent cahier des charges 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60"/>
        <w:gridCol w:w="3000"/>
        <w:gridCol w:w="2000"/>
      </w:tblGrid>
      <w:tr>
        <w:trPr>
          <w:tblHeader/>
        </w:trPr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Document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Destinataire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Statut</w:t>
            </w:r>
          </w:p>
        </w:tc>
      </w:tr>
      <w:tr>
        <w:trPr>
          <w:tblHeader w:val="false"/>
        </w:trPr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Cahier des charges (présent document)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Contractuel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À signer</w:t>
            </w:r>
          </w:p>
        </w:tc>
      </w:tr>
      <w:tr>
        <w:trPr>
          <w:tblHeader w:val="false"/>
        </w:trPr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Document Fonctionnalités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Maître d'ouvrage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Livré</w:t>
            </w:r>
          </w:p>
        </w:tc>
      </w:tr>
      <w:tr>
        <w:trPr>
          <w:tblHeader w:val="false"/>
        </w:trPr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Plan de mise en service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Commun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Livré</w:t>
            </w:r>
          </w:p>
        </w:tc>
      </w:tr>
      <w:tr>
        <w:trPr>
          <w:tblHeader w:val="false"/>
        </w:trPr>
        <w:tc>
          <w:tcPr>
            <w:tcW w:type="dxa" w:w="4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Brief technique consolidé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Interne Thillion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Livré</w:t>
            </w:r>
          </w:p>
        </w:tc>
      </w:tr>
    </w:tbl>
    <w:p>
      <w:pPr>
        <w:pStyle w:val="Heading1"/>
        <w:spacing w:after="180" w:before="360"/>
      </w:pPr>
      <w:r>
        <w:rPr>
          <w:b/>
          <w:bCs/>
          <w:color w:val="1F3A93"/>
          <w:sz w:val="32"/>
          <w:szCs w:val="32"/>
        </w:rPr>
        <w:t xml:space="preserve">11. Conformité et responsabilités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11.1 RGPD</w:t>
      </w:r>
    </w:p>
    <w:p>
      <w:pPr>
        <w:spacing w:after="120" w:line="320"/>
      </w:pPr>
      <w:r>
        <w:t xml:space="preserve">Thillion Agency est sous-traitant au sens du RGPD. CSHM Groupe est responsable de traitement. Un contrat de sous-traitance (DPA) sera signé avant le GO LIVE. La DPIA est réalisée par CSHM Groupe (ou son DPO) avant le GO LIVE.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11.2 Propriété intellectuelle</w:t>
      </w:r>
    </w:p>
    <w:p>
      <w:pPr>
        <w:spacing w:after="120" w:line="320"/>
      </w:pPr>
      <w:r>
        <w:t xml:space="preserve">Le code source produit dans le cadre du présent devis devient la propriété de CSHM Groupe à compter du paiement intégral du devis. Les briques tierces (Next.js, Supabase, Stripe, etc.) restent régies par leurs licences respectives.</w:t>
      </w:r>
    </w:p>
    <w:p>
      <w:pPr>
        <w:pStyle w:val="Heading2"/>
        <w:spacing w:after="120" w:before="240"/>
      </w:pPr>
      <w:r>
        <w:rPr>
          <w:b/>
          <w:bCs/>
          <w:color w:val="1F1F1F"/>
          <w:sz w:val="26"/>
          <w:szCs w:val="26"/>
        </w:rPr>
        <w:t xml:space="preserve">11.3 Confidentialité</w:t>
      </w:r>
    </w:p>
    <w:p>
      <w:pPr>
        <w:spacing w:after="120" w:line="320"/>
      </w:pPr>
      <w:r>
        <w:t xml:space="preserve">Les deux parties s'engagent à préserver la confidentialité des informations échangées dans le cadre du projet, pendant la durée du projet et 3 ans après son terme.</w:t>
      </w:r>
    </w:p>
    <w:p>
      <w:pPr>
        <w:pStyle w:val="Heading1"/>
        <w:spacing w:after="180" w:before="360"/>
      </w:pPr>
      <w:r>
        <w:rPr>
          <w:b/>
          <w:bCs/>
          <w:color w:val="1F3A93"/>
          <w:sz w:val="32"/>
          <w:szCs w:val="32"/>
        </w:rPr>
        <w:t xml:space="preserve">12. Signatures</w:t>
      </w:r>
    </w:p>
    <w:p>
      <w:pPr>
        <w:spacing w:after="120" w:line="320"/>
      </w:pPr>
      <w:r>
        <w:t xml:space="preserve">Le présent cahier des charges, signé par les deux parties, vaut accord sur le périmètre, les délais et les conditions financières du projet Toolbox24 — MVP.</w:t>
      </w:r>
    </w:p>
    <w:p>
      <w:pPr>
        <w:spacing w:before="60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Pour CSHM Groupe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Pour THILLION AGENCY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
Nom : Cédric Thibaudet
Date : ____ / ____ / 2026
Signature :
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sz w:val="20"/>
                <w:szCs w:val="20"/>
              </w:rPr>
              <w:t xml:space="preserve">
Nom : Guillaume Boudon
Date : ____ / ____ / 2026
Signature :
</w:t>
            </w:r>
          </w:p>
        </w:tc>
      </w:tr>
    </w:tbl>
    <w:p>
      <w:pPr>
        <w:spacing w:before="600"/>
        <w:jc w:val="center"/>
      </w:pPr>
      <w:r>
        <w:rPr>
          <w:i/>
          <w:iCs/>
          <w:color w:val="595959"/>
          <w:sz w:val="18"/>
          <w:szCs w:val="18"/>
        </w:rPr>
        <w:t xml:space="preserve">— Fin du cahier des charges —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95959"/>
        <w:sz w:val="18"/>
        <w:szCs w:val="18"/>
      </w:rPr>
      <w:t xml:space="preserve">Page </w:t>
    </w:r>
    <w:r>
      <w:rPr>
        <w:color w:val="59595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8"/>
        <w:szCs w:val="18"/>
      </w:rPr>
      <w:t xml:space="preserve"> / </w:t>
    </w:r>
    <w:r>
      <w:rPr>
        <w:color w:val="59595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tabs>
        <w:tab w:val="right" w:pos="9026"/>
      </w:tabs>
      <w:spacing w:after="0"/>
    </w:pPr>
    <w:r>
      <w:rPr>
        <w:color w:val="595959"/>
        <w:sz w:val="18"/>
        <w:szCs w:val="18"/>
      </w:rPr>
      <w:t xml:space="preserve">TOOLBOX24 · Cahier des charges V3</w:t>
    </w:r>
    <w:r>
      <w:rPr>
        <w:color w:val="595959"/>
        <w:sz w:val="18"/>
        <w:szCs w:val="18"/>
      </w:rPr>
      <w:t xml:space="preserve">	D-2026-003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1F3A93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libri" w:cs="Calibri" w:eastAsia="Calibri" w:hAnsi="Calibri"/>
      <w:b/>
      <w:bCs/>
      <w:color w:val="1F1F1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Calibri" w:cs="Calibri" w:eastAsia="Calibri" w:hAnsi="Calibri"/>
      <w:b/>
      <w:bCs/>
      <w:color w:val="1F1F1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Toolbox24 — Cahier des charges V3</dc:title>
  <dc:creator>Thillion Agency</dc:creator>
  <cp:lastModifiedBy>Un-named</cp:lastModifiedBy>
  <cp:revision>1</cp:revision>
  <dcterms:created xsi:type="dcterms:W3CDTF">2026-05-11T19:03:18.229Z</dcterms:created>
  <dcterms:modified xsi:type="dcterms:W3CDTF">2026-05-11T19:03:18.229Z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