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150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93" w:val="clear"/>
            <w:tcMar>
              <w:top w:type="dxa" w:w="360"/>
              <w:left w:type="dxa" w:w="360"/>
              <w:bottom w:type="dxa" w:w="360"/>
              <w:right w:type="dxa" w:w="360"/>
            </w:tcMar>
            <w:vAlign w:val="center"/>
          </w:tcPr>
          <w:p>
            <w:pPr>
              <w:spacing w:after="8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THILLION AGENCY</w:t>
            </w:r>
          </w:p>
          <w:p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BACKLOG MVP</w:t>
            </w:r>
          </w:p>
          <w:p>
            <w:pPr>
              <w:spacing w:after="0"/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Document de pilotage projet — partagé entre Thillion et CSHM Groupe</w:t>
            </w:r>
          </w:p>
        </w:tc>
      </w:tr>
    </w:tbl>
    <w:p>
      <w:pPr>
        <w:spacing w:after="240" w:before="600"/>
      </w:pPr>
      <w:r>
        <w:rPr>
          <w:b/>
          <w:bCs/>
          <w:color w:val="1F3A93"/>
          <w:sz w:val="40"/>
          <w:szCs w:val="40"/>
        </w:rPr>
        <w:t xml:space="preserve">Toolbox24 — Backlog priorisé</w:t>
      </w:r>
    </w:p>
    <w:p>
      <w:pPr>
        <w:spacing w:after="600"/>
      </w:pPr>
      <w:r>
        <w:rPr>
          <w:i/>
          <w:iCs/>
          <w:color w:val="595959"/>
          <w:sz w:val="22"/>
          <w:szCs w:val="22"/>
        </w:rPr>
        <w:t xml:space="preserve">17 épics  ·  124 stories  ·  sprints S5 à S13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EDF7F2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10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À propos de ce document</w:t>
            </w:r>
          </w:p>
          <w:p>
            <w:pPr>
              <w:spacing w:after="60" w:line="280"/>
            </w:pPr>
            <w:r>
              <w:rPr>
                <w:sz w:val="21"/>
                <w:szCs w:val="21"/>
              </w:rPr>
              <w:t xml:space="preserve">Ce backlog liste, par grandes thématiques, l'ensemble des stories de développement du MVP Toolbox24. Il sert à la fois de feuille de route pour Thillion Agency et de support de visibilité pour CSHM Groupe sur l'avancement du projet.</w:t>
            </w:r>
          </w:p>
          <w:p>
            <w:pPr>
              <w:spacing w:after="60" w:line="280"/>
            </w:pPr>
            <w:r>
              <w:rPr>
                <w:sz w:val="21"/>
                <w:szCs w:val="21"/>
              </w:rPr>
              <w:t xml:space="preserve">Chaque story est rattachée à un sprint, à une priorité et à une estimation de charge indicative. La granularité est volontairement homogène : une story correspond à un livrable cohérent et démontrable.</w:t>
            </w:r>
          </w:p>
          <w:p>
            <w:pPr>
              <w:spacing w:after="60" w:line="280"/>
            </w:pPr>
            <w:r>
              <w:rPr>
                <w:sz w:val="21"/>
                <w:szCs w:val="21"/>
              </w:rPr>
              <w:t xml:space="preserve">Le détail technique d'implémentation reste à la discrétion du maître d'œuvre. Le périmètre fonctionnel est décrit dans l'Aperçu fonctionnel V4 associé.</w:t>
            </w:r>
          </w:p>
        </w:tc>
      </w:tr>
    </w:tbl>
    <w:p>
      <w:pPr>
        <w:spacing w:before="600"/>
      </w:pPr>
      <w:r>
        <w:rPr>
          <w:i/>
          <w:iCs/>
          <w:color w:val="595959"/>
          <w:sz w:val="20"/>
          <w:szCs w:val="20"/>
        </w:rPr>
        <w:t xml:space="preserve">Préparé par Guillaume Boudon · THILLION AGENCY</w:t>
      </w:r>
    </w:p>
    <w:p>
      <w:pPr>
        <w:spacing w:after="0" w:before="240"/>
      </w:pPr>
      <w:r>
        <w:rPr>
          <w:color w:val="595959"/>
          <w:sz w:val="20"/>
          <w:szCs w:val="20"/>
        </w:rPr>
        <w:t xml:space="preserve">Référence : D-2026-003 · Version 2.0 — Mai 2026</w:t>
      </w:r>
    </w:p>
    <w:p>
      <w:r>
        <w:br w:type="page"/>
      </w:r>
    </w:p>
    <w:p>
      <w:pPr>
        <w:pStyle w:val="Heading1"/>
        <w:keepNext/>
        <w:keepLines/>
        <w:spacing w:after="180" w:before="360"/>
      </w:pPr>
      <w:r>
        <w:rPr>
          <w:b/>
          <w:bCs/>
          <w:color w:val="1F3A93"/>
          <w:sz w:val="32"/>
          <w:szCs w:val="32"/>
        </w:rPr>
        <w:t xml:space="preserve">Conventions de lecture</w:t>
      </w:r>
    </w:p>
    <w:p>
      <w:pPr>
        <w:pStyle w:val="Heading2"/>
        <w:keepNext/>
        <w:keepLines/>
        <w:spacing w:after="120" w:before="240"/>
      </w:pPr>
      <w:r>
        <w:rPr>
          <w:b/>
          <w:bCs/>
          <w:color w:val="1F1F1F"/>
          <w:sz w:val="26"/>
          <w:szCs w:val="26"/>
        </w:rPr>
        <w:t xml:space="preserve">Priorité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7160"/>
      </w:tblGrid>
      <w:tr>
        <w:trPr>
          <w:cantSplit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 xml:space="preserve">Indispensable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Inclus dans le périmètre du MVP. Doit être livré avant la mise en service.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0E7C66"/>
                <w:sz w:val="22"/>
                <w:szCs w:val="22"/>
              </w:rPr>
              <w:t xml:space="preserve">S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 xml:space="preserve">Important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Forte valeur, livré au MVP si la marge le permet. Peut être ajusté en cours de projet.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8C7800"/>
                <w:sz w:val="22"/>
                <w:szCs w:val="22"/>
              </w:rPr>
              <w:t xml:space="preserve">C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 xml:space="preserve">Optionnel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Nice-to-have. Étudié pour une version ultérieure si besoin.</w:t>
            </w:r>
          </w:p>
        </w:tc>
      </w:tr>
    </w:tbl>
    <w:p>
      <w:pPr>
        <w:pStyle w:val="Heading2"/>
        <w:keepNext/>
        <w:keepLines/>
        <w:spacing w:after="120" w:before="240"/>
      </w:pPr>
      <w:r>
        <w:rPr>
          <w:b/>
          <w:bCs/>
          <w:color w:val="1F1F1F"/>
          <w:sz w:val="26"/>
          <w:szCs w:val="26"/>
        </w:rPr>
        <w:t xml:space="preserve">Estimation de charge (indicative)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cantSplit/>
          <w:tblHeader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Taille</w:t>
            </w:r>
          </w:p>
        </w:tc>
        <w:tc>
          <w:tcPr>
            <w:tcW w:type="dxa" w:w="7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Charge indicative</w:t>
            </w:r>
          </w:p>
        </w:tc>
      </w:tr>
      <w:tr>
        <w:trPr>
          <w:cantSplit/>
          <w:tblHeader w:val="false"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XS</w:t>
            </w:r>
          </w:p>
        </w:tc>
        <w:tc>
          <w:tcPr>
            <w:tcW w:type="dxa" w:w="7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Moins d'une demi-journée</w:t>
            </w:r>
          </w:p>
        </w:tc>
      </w:tr>
      <w:tr>
        <w:trPr>
          <w:cantSplit/>
          <w:tblHeader w:val="false"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</w:t>
            </w:r>
          </w:p>
        </w:tc>
        <w:tc>
          <w:tcPr>
            <w:tcW w:type="dxa" w:w="7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Une demi-journée à une journée</w:t>
            </w:r>
          </w:p>
        </w:tc>
      </w:tr>
      <w:tr>
        <w:trPr>
          <w:cantSplit/>
          <w:tblHeader w:val="false"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M</w:t>
            </w:r>
          </w:p>
        </w:tc>
        <w:tc>
          <w:tcPr>
            <w:tcW w:type="dxa" w:w="7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Une à deux journées</w:t>
            </w:r>
          </w:p>
        </w:tc>
      </w:tr>
      <w:tr>
        <w:trPr>
          <w:cantSplit/>
          <w:tblHeader w:val="false"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L</w:t>
            </w:r>
          </w:p>
        </w:tc>
        <w:tc>
          <w:tcPr>
            <w:tcW w:type="dxa" w:w="7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Deux à quatre journées</w:t>
            </w:r>
          </w:p>
        </w:tc>
      </w:tr>
      <w:tr>
        <w:trPr>
          <w:cantSplit/>
          <w:tblHeader w:val="false"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XL</w:t>
            </w:r>
          </w:p>
        </w:tc>
        <w:tc>
          <w:tcPr>
            <w:tcW w:type="dxa" w:w="7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Plus de quatre journées (à décomposer si possible)</w:t>
            </w:r>
          </w:p>
        </w:tc>
      </w:tr>
    </w:tbl>
    <w:p>
      <w:pPr>
        <w:pStyle w:val="Heading2"/>
        <w:keepNext/>
        <w:keepLines/>
        <w:spacing w:after="120" w:before="240"/>
      </w:pPr>
      <w:r>
        <w:rPr>
          <w:b/>
          <w:bCs/>
          <w:color w:val="1F1F1F"/>
          <w:sz w:val="26"/>
          <w:szCs w:val="26"/>
        </w:rPr>
        <w:t xml:space="preserve">Sprints</w:t>
      </w:r>
    </w:p>
    <w:p>
      <w:pPr>
        <w:spacing w:after="100" w:line="320"/>
      </w:pPr>
      <w:r>
        <w:rPr>
          <w:sz w:val="22"/>
          <w:szCs w:val="22"/>
        </w:rPr>
        <w:t xml:space="preserve">Le développement effectif est cadencé en sprints d'une semaine, du sprint S5 au sprint S13. Le découpage et la séquence sont décrits ci-après. La phase préalable de cadrage et d'UX (S1 à S4) ne fait pas l'objet de stories ici.</w:t>
      </w:r>
    </w:p>
    <w:p>
      <w:r>
        <w:br w:type="page"/>
      </w:r>
    </w:p>
    <w:p>
      <w:pPr>
        <w:pStyle w:val="Heading1"/>
        <w:keepNext/>
        <w:keepLines/>
        <w:spacing w:after="180" w:before="360"/>
      </w:pPr>
      <w:r>
        <w:rPr>
          <w:b/>
          <w:bCs/>
          <w:color w:val="1F3A93"/>
          <w:sz w:val="32"/>
          <w:szCs w:val="32"/>
        </w:rPr>
        <w:t xml:space="preserve">Vue d'ensemble</w:t>
      </w:r>
    </w:p>
    <w:p>
      <w:pPr>
        <w:spacing w:after="100" w:line="320"/>
      </w:pPr>
      <w:r>
        <w:rPr>
          <w:sz w:val="22"/>
          <w:szCs w:val="22"/>
        </w:rPr>
        <w:t xml:space="preserve">Le MVP est structuré en 17 épics, eux-mêmes découpés en 80 stories réparties sur les sprints S5 à S13.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960"/>
        <w:gridCol w:w="1200"/>
      </w:tblGrid>
      <w:tr>
        <w:trPr>
          <w:cantSplit/>
          <w:tblHeader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Sprint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Focus principal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Stories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S5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Fondations techniques + auth de base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11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S6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Catalogue, sites, casiers, packs, espace personnel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12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S7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Réservation et paiement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11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S8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Retrait, location en cours, restitution multi-item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16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S9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Abonnement professionnel + notifications multi-canales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12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S10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Scoring, back-office complet, paramétrage métier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23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S11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Consommables, facturation, RGPD, reporting, tests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27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S12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Recette technique et stabilisation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3</w:t>
            </w:r>
          </w:p>
        </w:tc>
      </w:tr>
      <w:tr>
        <w:trPr>
          <w:cantSplit/>
          <w:tblHeader w:val="false"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S13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Mise en service et surveillance initiale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1"/>
                <w:szCs w:val="21"/>
              </w:rPr>
              <w:t xml:space="preserve">5</w:t>
            </w:r>
          </w:p>
        </w:tc>
      </w:tr>
    </w:tbl>
    <w:p>
      <w:pPr>
        <w:pStyle w:val="Heading2"/>
        <w:keepNext/>
        <w:keepLines/>
        <w:spacing w:after="120" w:before="240"/>
      </w:pPr>
      <w:r>
        <w:rPr>
          <w:b/>
          <w:bCs/>
          <w:color w:val="1F1F1F"/>
          <w:sz w:val="26"/>
          <w:szCs w:val="26"/>
        </w:rPr>
        <w:t xml:space="preserve">Conditions à réunir avant le démarrage du sprint S5</w:t>
      </w:r>
    </w:p>
    <w:p>
      <w:pPr>
        <w:spacing w:after="100" w:line="320"/>
      </w:pPr>
      <w:r>
        <w:rPr>
          <w:sz w:val="22"/>
          <w:szCs w:val="22"/>
        </w:rPr>
        <w:t xml:space="preserve">Quatre points à arbitrer ou à recevoir en Phase 1 (S1-S2) pour permettre au développement de démarrer sans blocage en S5 :</w:t>
      </w:r>
    </w:p>
    <w:p>
      <w:pPr>
        <w:pStyle w:val="ListParagraph"/>
        <w:keepLines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Tarif et avantages exacts du plan d'abonnement professionnel (épic 07)</w:t>
      </w:r>
    </w:p>
    <w:p>
      <w:pPr>
        <w:pStyle w:val="ListParagraph"/>
        <w:keepLines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Catalogue initial des packs types BTP (3 à 5 packs) (épic 03)</w:t>
      </w:r>
    </w:p>
    <w:p>
      <w:pPr>
        <w:pStyle w:val="ListParagraph"/>
        <w:keepLines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Confirmation par l'expert-comptable de l'usage de Pennylane (épic 13)</w:t>
      </w:r>
    </w:p>
    <w:p>
      <w:pPr>
        <w:pStyle w:val="ListParagraph"/>
        <w:keepLines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Documentation API Kasier finale et accès à l'environnement de recette Kasier (épic 04 et suivants)</w:t>
      </w:r>
    </w:p>
    <w:p>
      <w:r>
        <w:br w:type="page"/>
      </w:r>
    </w:p>
    <w:p>
      <w:pPr>
        <w:pStyle w:val="Heading1"/>
        <w:keepNext/>
        <w:keepLines/>
        <w:spacing w:after="180" w:before="360"/>
      </w:pPr>
      <w:r>
        <w:rPr>
          <w:b/>
          <w:bCs/>
          <w:color w:val="1F3A93"/>
          <w:sz w:val="32"/>
          <w:szCs w:val="32"/>
        </w:rPr>
        <w:t xml:space="preserve">Détail par épic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01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Fondations techniques</w:t>
            </w:r>
            <w:r>
              <w:rPr>
                <w:color w:val="595959"/>
                <w:sz w:val="19"/>
                <w:szCs w:val="19"/>
              </w:rPr>
              <w:t xml:space="preserve">   ·   Sprint S5   ·   6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Mise en place du socle. Pas de fonctionnalité visible mais condition de tout le reste.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T24-001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Mise en place de l'environnement de développement (organisation du code, base de données, déploiement)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Infrastructure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T24-002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Pipeline d'intégration continue (vérifications automatiques à chaque modification du code)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Infrastructure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T24-003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Trois environnements distincts (développement, recette, production) avec gestion sécurisée des secrets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Infrastructure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T24-004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Couche d'abstraction matériel Kasier (avec simulateur permettant de coder sans le matériel réel)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Matériel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T24-005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Surveillance applicative en production (alertes en cas d'erreur ou d'anomalie)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Exploitation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T24-006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Données de test initiales (un site, des outils, des comptes pour démarrer)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Données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02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Compte et profil utilisateur</w:t>
            </w:r>
            <w:r>
              <w:rPr>
                <w:color w:val="595959"/>
                <w:sz w:val="19"/>
                <w:szCs w:val="19"/>
              </w:rPr>
              <w:t xml:space="preserve">   ·   Sprint S5-S6   ·   9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Création de compte, connexion, gestion des informations personnelles, droits RGPD.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Création d'un compte particulier (email + mot de passe + vérification par email)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Compte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Création d'un compte professionnel (avec SIRET et vérification automatique d'existence de l'entreprise)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Compte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Connexion sécurisée (mot de passe, lien magique, récupération de mot de passe)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Compte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Authentification renforcée à deux facteurs pour les comptes administrateurs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Sécurité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Modification des informations du compte (email, mot de passe, préférences de notification)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Compte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sécurisée des moyens de paiement (cartes bancaires gérées par Stripe)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Compte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Export des données personnelles (droit à la portabilité RGPD)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RGPD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Suppression de compte avec anonymisation (droit à l'oubli RGPD)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RGPD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T24-109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Protection contre les tentatives massives de connexion (limitation par utilisateur et par adresse IP)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S5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Sécurité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03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Catalogue, sites et casiers</w:t>
            </w:r>
            <w:r>
              <w:rPr>
                <w:color w:val="595959"/>
                <w:sz w:val="19"/>
                <w:szCs w:val="19"/>
              </w:rPr>
              <w:t xml:space="preserve">   ·   Sprint S6   ·   8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Gestion de l'offre côté administrateur et présentation côté utilisateur.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administrateur des outils (création, modification, photos de référence, prix, caution)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administrateur des catégories d'outils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administrateur des packs prédéfinis (composition, discount global)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administrateur des consommables et de leur stock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administrateur des sites et des casiers (assignation des outils aux casiers)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Catalogue côté utilisateur (liste des outils et packs avec filtres et tri)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Fiches détaillées (outil et pack) avec photos, prix, caution et calendrier de disponibilité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T24-208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Vérification de la disponibilité d'un outil ou d'un pack sur un créneau (avec gestion sécurisée de la concurrence)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S6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Catalogue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04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Réservation et paiement</w:t>
            </w:r>
            <w:r>
              <w:rPr>
                <w:color w:val="595959"/>
                <w:sz w:val="19"/>
                <w:szCs w:val="19"/>
              </w:rPr>
              <w:t xml:space="preserve">   ·   Sprint S7   ·   9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De la sélection du créneau à la pré-autorisation Stripe et la confirmation.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Modélisation des sessions de location (avec support des packs multi-outils)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Tunnel de réservation côté utilisateur (sélection créneau, récapitulatif, paiement)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Calcul du prix en temps réel (avec application des discounts B2B, abonnement et pack)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Pré-autorisation Stripe (montant temporairement bloqué sans débit immédiat)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Paiement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Réception et traitement sécurisé des notifications Stripe (avec déduplication)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Paiement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Détection automatique des absences au créneau (annulation et libération du casier après tolérance)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Modification d'une réservation existante (changement de créneau, recalcul du prix)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Annulation d'une réservation (libération de la pré-autorisation et du casier, conditions paramétrables)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T24-309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Confirmation immédiate de la réservation (email avec fichier d'agenda, SMS, notification mobile)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Réservation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05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Retrait sur site</w:t>
            </w:r>
            <w:r>
              <w:rPr>
                <w:color w:val="595959"/>
                <w:sz w:val="19"/>
                <w:szCs w:val="19"/>
              </w:rPr>
              <w:t xml:space="preserve">   ·   Sprint S7-S8   ·   9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Authentification borne, ouverture du sas et des casiers, prise des photos d'état initial.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Génération d'un QR code dynamique de retrait (avec rotation toutes les 90 secondes pour éviter le partage)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Retrait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Distribution automatique d'un PIN par SMS 30 minutes avant le créneau (mode sans smartphone)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S7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Authentification à la borne par QR code ou par PIN (avec protection contre les tentatives répétées)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Retrait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Ouverture sécurisée de la porte du sas et des casiers (avec gestion atomique pour les packs multi-outils)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Matériel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Capture obligatoire de photos d'état initial par outil (mode caméra direct, sans upload depuis la galerie)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Retrait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Préparation côté serveur des photos (suppression des données sensibles, horodatage, empreinte cryptographique, archivage sécurisé)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Sécurité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Démarrage automatique du compteur de location une fois tous les outils retirés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Retrait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Surveillance permanente de la borne (heartbeat, alerte en cas de coupure)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Matériel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T24-409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Confirmation multi-canale du retrait (email, SMS, notification mobile)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06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Pendant la location et restitution</w:t>
            </w:r>
            <w:r>
              <w:rPr>
                <w:color w:val="595959"/>
                <w:sz w:val="19"/>
                <w:szCs w:val="19"/>
              </w:rPr>
              <w:t xml:space="preserve">   ·   Sprint S8   ·   9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Suivi de la location en cours, prolongation, restitution avec preuves multimédia.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de la location en cours côté utilisateur (temps restant, caution, actions disponibles)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Location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Détection automatique des dépassements de créneau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Location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Prolongation d'une location (calcul du surcoût et nouvelle pré-autorisation)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Location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Initiation de la restitution par bouton dédié (génération d'un QR de retour)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Restitution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Capture des preuves de restitution (photos finales et vidéo continue jusqu'à fermeture du casier)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Restitution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Saisie d'un signalement utilisateur à la restitution (rien à signaler, incident mineur, incident majeur)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Restitution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Passage automatique en attente de validation une fois tous les items restitués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Restitution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Contestation d'une décision opérateur jusqu'à 30 jours après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Restitution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T24-509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Mode dégradé PIN au retour (sans smartphone)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0E7C66"/>
                <w:sz w:val="22"/>
                <w:szCs w:val="22"/>
              </w:rPr>
              <w:t xml:space="preserve">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S8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Restitution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07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Abonnement professionnel</w:t>
            </w:r>
            <w:r>
              <w:rPr>
                <w:color w:val="595959"/>
                <w:sz w:val="19"/>
                <w:szCs w:val="19"/>
              </w:rPr>
              <w:t xml:space="preserve">   ·   Sprint S9   ·   8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Souscription récurrente avec discount automatique sur les locations.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Modélisation et création du plan d'abonnement professionnel (sous réserve de l'arbitrage tarifaire)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Souscription en ligne via une page de paiement hébergée par Stripe (conforme PCI-DSS)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du compte d'abonnement par l'utilisateur via le portail Stripe (changement de carte, mise en pause, résiliation, factures)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Synchronisation continue avec Stripe (activation, suspension, résiliation)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Politique de grâce en cas d'échec de paiement (relances email, suspension après échec persistant)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Application automatique du discount abonnement à chaque réservation (figé pour stabilité)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Page produit de souscription côté utilisateur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Abonnement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T24-608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administrateur des abonnés actifs avec indicateur de revenu récurrent (MRR)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0E7C66"/>
                <w:sz w:val="22"/>
                <w:szCs w:val="22"/>
              </w:rPr>
              <w:t xml:space="preserve">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08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Notifications multi-canales</w:t>
            </w:r>
            <w:r>
              <w:rPr>
                <w:color w:val="595959"/>
                <w:sz w:val="19"/>
                <w:szCs w:val="19"/>
              </w:rPr>
              <w:t xml:space="preserve">   ·   Sprint S9   ·   5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Email + SMS + notifications mobile, avec respect des préférences utilisateur.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T24-701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Mise en place de l'envoi d'emails transactionnels (avec templates versionnables)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T24-702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Mise en place de l'envoi de SMS (avec politique restrictive limitée à 3 par session)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T24-703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Mise en place des notifications mobiles via l'application web installable (PWA)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T24-704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Templates de notifications pour les événements clés (confirmation, retrait, retour, validation, facture, abonnement)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T24-705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Service centralisé de dispatch multi-canal respectant les préférences utilisateur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S9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Notifications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09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Moteur de scoring et analyse d'image</w:t>
            </w:r>
            <w:r>
              <w:rPr>
                <w:color w:val="595959"/>
                <w:sz w:val="19"/>
                <w:szCs w:val="19"/>
              </w:rPr>
              <w:t xml:space="preserve">   ·   Sprint S10   ·   6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Production d'un statut Vert / Orange / Rouge par item, en aide à la décision opérateur.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T24-801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Pipeline de scoring déclenché à chaque restitution d'un item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Scoring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T24-802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Analyse comparative des photos avant et après par intelligence artificielle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Scoring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T24-803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Agrégation pondérée des signaux (capteurs matériel, analyse photo, signalement utilisateur, historique)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Scoring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T24-804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Garde-fous de forçage en statut Rouge sur signaux critiques (capteur, signalement majeur, écart fort)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Scoring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T24-805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Génération d'une justification lisible accompagnant chaque statut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Scoring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T24-806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Calibration initiale des poids par défaut + script de simulation pour ajustements futurs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0E7C66"/>
                <w:sz w:val="22"/>
                <w:szCs w:val="22"/>
              </w:rPr>
              <w:t xml:space="preserve">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Scoring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10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Back-office opérateur — pilotage quotidien</w:t>
            </w:r>
            <w:r>
              <w:rPr>
                <w:color w:val="595959"/>
                <w:sz w:val="19"/>
                <w:szCs w:val="19"/>
              </w:rPr>
              <w:t xml:space="preserve">   ·   Sprint S10   ·   11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Dashboard, file de validation, workflows de décision, gestion des incidents.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Squelette du back-office (espace sécurisé par rôle, accès vérifié à chaque action)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Dashboard temps réel (sessions en cours, occupation des casiers, files de validation, alertes)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Files de validation par criticité (Rouge / Orange / Vert) avec tri par ancienneté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détaillée d'une restitution (photos avant/après, vidéo, signalement, score, historique du compte)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Décision opérateur item par item dans le cas d'un pack (libération, capture partielle, capture totale, escalade)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Application de la décision sur Stripe (libération, capture partielle, capture totale)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Paiement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Workflow de remboursement et émission d'avoir (avec lien vers la facture initiale)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des incidents (création, affectation, suivi temporel, clôture documentée)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T24-909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Ouverture manuelle d'un casier depuis le back-office (action loggée dans l'audit)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T24-910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Gestion des comptes utilisateurs (suspension, mise en surveillance, anonymisation)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T24-911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Consultation du journal d'audit avec filtres (acteur, période, type d'action)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Back-office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11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Paramétrage métier</w:t>
            </w:r>
            <w:r>
              <w:rPr>
                <w:color w:val="595959"/>
                <w:sz w:val="19"/>
                <w:szCs w:val="19"/>
              </w:rPr>
              <w:t xml:space="preserve">   ·   Sprint S10   ·   6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Configuration administrateur des règles tarifaires, cautions, scoring et notifications.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Édition des grilles de prix (par scope, par cible, avec versioning et dates d'effet)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Paramétrage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Édition des grilles de caution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Paramétrage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Édition des règles de pénalités progressives (tolérance, paliers, plafond)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Paramétrage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Édition des poids et seuils du moteur de scoring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Paramétrage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Édition des templates de notification (email, SMS, push) avec variables et aperçu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Paramétrage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T24-1006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Configuration de paramètres opérationnels divers (tolérances, seuils, comportements)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S10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Paramétrage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12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Vente de consommables</w:t>
            </w:r>
            <w:r>
              <w:rPr>
                <w:color w:val="595959"/>
                <w:sz w:val="19"/>
                <w:szCs w:val="19"/>
              </w:rPr>
              <w:t xml:space="preserve">   ·   Sprint S11   ·   5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Achat direct sans caution, casier dédié, facturation immédiate.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T24-1101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Catalogue des consommables (séparé des outils en location)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Consommables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T24-1102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Achat direct par paiement Stripe immédiat (sans caution)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Consommables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T24-1103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Ouverture du casier consommable et décrémentation automatique du stock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Consommables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T24-1104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Émission immédiate d'une facture après achat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Consommables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T24-1105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Alerte automatique en cas de stock bas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Consommables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13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Facturation conforme</w:t>
            </w:r>
            <w:r>
              <w:rPr>
                <w:color w:val="595959"/>
                <w:sz w:val="19"/>
                <w:szCs w:val="19"/>
              </w:rPr>
              <w:t xml:space="preserve">   ·   Sprint S11   ·   6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Numérotation séquentielle, factures immutables, export comptable mensuel.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T24-1201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Génération de factures conformes à la réglementation française (numérotation séquentielle, mentions légales, immutabilité après émission)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Facturation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T24-1202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Génération automatique des factures d'abonnement (à partir des paiements Stripe récurrents)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Facturation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T24-1203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Émission d'avoirs liés à une facture initiale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Facturation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T24-1204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Export comptable mensuel automatique (format CSV / XLSX, compatible Pennylane)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Facturation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T24-1205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Synchronisation directe avec Pennylane via API (sous réserve de la confirmation par l'expert-comptable)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0E7C66"/>
                <w:sz w:val="22"/>
                <w:szCs w:val="22"/>
              </w:rPr>
              <w:t xml:space="preserve">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Facturation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T24-1206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Liste administrateur des factures avec téléchargement et ré-export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Facturation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14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Audit, RGPD et rétention</w:t>
            </w:r>
            <w:r>
              <w:rPr>
                <w:color w:val="595959"/>
                <w:sz w:val="19"/>
                <w:szCs w:val="19"/>
              </w:rPr>
              <w:t xml:space="preserve">   ·   Sprint S11   ·   4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Traçabilité, droits utilisateurs, purge des médias selon politique de rétention.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T24-1301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Journal d'audit immutable de toutes les actions sensibles (validations, paramétrage, ouvertures de casier, modifications utilisateurs)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Sécurité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T24-1302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Service d'anonymisation utilisateur (avec respect de la conservation légale des factures pendant 10 ans)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RGPD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T24-1303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Purge automatique des médias après 90 jours (avec gestion des cas de conservation forcée pour litige)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RGPD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T24-1304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Pages mentions légales et politique de confidentialité (sur la base des contenus fournis par CSHM Groupe)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Légal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15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Reporting essentiel</w:t>
            </w:r>
            <w:r>
              <w:rPr>
                <w:color w:val="595959"/>
                <w:sz w:val="19"/>
                <w:szCs w:val="19"/>
              </w:rPr>
              <w:t xml:space="preserve">   ·   Sprint S11   ·   6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Indicateurs de pilotage : revenus, occupation, incidents, abonnés.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T24-1401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Tableau de bord avec les indicateurs essentiels (revenus, sessions, cautions, abonnés, incidents)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T24-1402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des revenus par période, par outil, par catégorie, par type de session (simple ou pack)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T24-1403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du taux d'occupation des casiers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T24-1404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du suivi des incidents (statut et évolution dans le temps)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T24-1405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Vue des cautions captées versus libérées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T24-1406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Export des données de reporting au format CSV / XLSX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Reporting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16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Tests de bout en bout</w:t>
            </w:r>
            <w:r>
              <w:rPr>
                <w:color w:val="595959"/>
                <w:sz w:val="19"/>
                <w:szCs w:val="19"/>
              </w:rPr>
              <w:t xml:space="preserve">   ·   Sprint S11   ·   9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Validation automatique des parcours critiques avant la mise en service.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Mise en place du framework de tests de bout en bout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réservation d'un outil unique de bout en bout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retrait nominal par QR code (un outil)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restitution nominale par QR code avec photos et vidéo (un outil)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validation opérateur ROUGE avec capture totale de caution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validation opérateur VERT avec libération de caution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souscription d'un abonnement, paiement récurrent, application du discount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réservation d'un pack 3 outils, retrait multi-casier, restitution multi-item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L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T24-1509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: validation d'un pack avec scoring différencié par item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S11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Qualité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1F3A93" w:sz="4"/>
              <w:left w:val="single" w:color="1F3A93" w:sz="24"/>
              <w:bottom w:val="single" w:color="1F3A93" w:sz="4"/>
              <w:right w:val="single" w:color="1F3A93" w:sz="4"/>
            </w:tcBorders>
            <w:shd w:fill="F5F8F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Épic 17  ·  </w:t>
            </w:r>
            <w:r>
              <w:rPr>
                <w:b/>
                <w:bCs/>
                <w:color w:val="1F1F1F"/>
                <w:sz w:val="26"/>
                <w:szCs w:val="26"/>
              </w:rPr>
              <w:t xml:space="preserve">Mise en service et déploiement</w:t>
            </w:r>
            <w:r>
              <w:rPr>
                <w:color w:val="595959"/>
                <w:sz w:val="19"/>
                <w:szCs w:val="19"/>
              </w:rPr>
              <w:t xml:space="preserve">   ·   Sprint S12-S13   ·   8 stories</w:t>
            </w:r>
          </w:p>
          <w:p>
            <w:pPr>
              <w:spacing w:after="0" w:line="28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Recette technique, déploiement progressif, surveillance initiale.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5100"/>
        <w:gridCol w:w="540"/>
        <w:gridCol w:w="540"/>
        <w:gridCol w:w="800"/>
        <w:gridCol w:w="1380"/>
      </w:tblGrid>
      <w:tr>
        <w:trPr>
          <w:cantSplit/>
          <w:tblHeader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Story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93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Domaine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T24-1601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Recette technique conjointe (validation des parcours critiques sur l'environnement de recette)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M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S12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T24-1602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complet de la procédure de retour arrière (rollback) sur l'environnement de recette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S12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T24-1603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 de la procédure de restauration de la base de données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S12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T24-1604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Initialisation de la base de production (paramètres, premier compte administrateur, packs initiaux)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S13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T24-1605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Déploiement progressif en production (10 % puis 100 % du trafic)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S13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T24-1606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Tests de fumée post-déploiement sur l'environnement de production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S13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T24-1607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Configuration des alertes de production (technique, paiement, surveillance applicative)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S13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  <w:tr>
        <w:trPr>
          <w:cantSplit/>
        </w:trP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color w:val="1F3A93"/>
                <w:sz w:val="18"/>
                <w:szCs w:val="18"/>
              </w:rPr>
              <w:t xml:space="preserve">T24-1608</w:t>
            </w:r>
          </w:p>
        </w:tc>
        <w:tc>
          <w:tcPr>
            <w:tcW w:type="dxa" w:w="5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sz w:val="19"/>
                <w:szCs w:val="19"/>
              </w:rPr>
              <w:t xml:space="preserve">Documentation rapide de la procédure d'astreinte (qui, quand, comment)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B33A3A"/>
                <w:sz w:val="22"/>
                <w:szCs w:val="22"/>
              </w:rPr>
              <w:t xml:space="preserve">M</w:t>
            </w:r>
          </w:p>
        </w:tc>
        <w:tc>
          <w:tcPr>
            <w:tcW w:type="dxa" w:w="5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color w:val="1F3A93"/>
                <w:sz w:val="19"/>
                <w:szCs w:val="19"/>
              </w:rPr>
              <w:t xml:space="preserve">S13</w:t>
            </w:r>
          </w:p>
        </w:tc>
        <w:tc>
          <w:tcPr>
            <w:tcW w:type="dxa" w:w="13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Mise en service</w:t>
            </w:r>
          </w:p>
        </w:tc>
      </w:tr>
    </w:tbl>
    <w:p>
      <w:pPr>
        <w:spacing w:before="600"/>
        <w:jc w:val="center"/>
      </w:pPr>
      <w:r>
        <w:rPr>
          <w:i/>
          <w:iCs/>
          <w:color w:val="595959"/>
          <w:sz w:val="18"/>
          <w:szCs w:val="18"/>
        </w:rPr>
        <w:t xml:space="preserve">— Fin du backlog MVP V2 —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95959"/>
        <w:sz w:val="18"/>
        <w:szCs w:val="18"/>
      </w:rPr>
      <w:t xml:space="preserve">Page </w:t>
    </w:r>
    <w:r>
      <w:rPr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8"/>
        <w:szCs w:val="18"/>
      </w:rPr>
      <w:t xml:space="preserve"> / </w:t>
    </w:r>
    <w:r>
      <w:rPr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026"/>
      </w:tabs>
      <w:spacing w:after="0"/>
    </w:pPr>
    <w:r>
      <w:rPr>
        <w:color w:val="595959"/>
        <w:sz w:val="18"/>
        <w:szCs w:val="18"/>
      </w:rPr>
      <w:t xml:space="preserve">TOOLBOX24 · Backlog MVP V2</w:t>
    </w:r>
    <w:r>
      <w:rPr>
        <w:color w:val="595959"/>
        <w:sz w:val="18"/>
        <w:szCs w:val="18"/>
      </w:rPr>
      <w:t xml:space="preserve">	D-2026-003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3A9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F1F1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Calibri" w:cs="Calibri" w:eastAsia="Calibri" w:hAnsi="Calibri"/>
      <w:b/>
      <w:bCs/>
      <w:color w:val="1F1F1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Toolbox24 — Backlog MVP V2</dc:title>
  <dc:creator>Thillion Agency</dc:creator>
  <cp:lastModifiedBy>Un-named</cp:lastModifiedBy>
  <cp:revision>1</cp:revision>
  <dcterms:created xsi:type="dcterms:W3CDTF">2026-05-12T22:16:12.855Z</dcterms:created>
  <dcterms:modified xsi:type="dcterms:W3CDTF">2026-05-12T22:16:12.856Z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