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  <w:jc w:val="center"/>
      </w:pPr>
      <w:r>
        <w:rPr>
          <w:b/>
          <w:bCs/>
          <w:color w:val="1B3A57"/>
          <w:sz w:val="28"/>
          <w:szCs w:val="28"/>
        </w:rPr>
        <w:t xml:space="preserve">THILLION AGENCY</w:t>
      </w:r>
    </w:p>
    <w:p>
      <w:pPr>
        <w:spacing w:before="60"/>
        <w:jc w:val="center"/>
      </w:pPr>
      <w:r>
        <w:rPr>
          <w:i/>
          <w:iCs/>
          <w:color w:val="555555"/>
          <w:sz w:val="20"/>
          <w:szCs w:val="20"/>
        </w:rPr>
        <w:t xml:space="preserve">Marketing Digital · Développement · Automatisation IA</w:t>
      </w:r>
    </w:p>
    <w:p>
      <w:pPr>
        <w:spacing w:before="1200"/>
        <w:jc w:val="center"/>
      </w:pPr>
      <w:r>
        <w:rPr>
          <w:b/>
          <w:bCs/>
          <w:color w:val="E07B2C"/>
          <w:sz w:val="26"/>
          <w:szCs w:val="26"/>
        </w:rPr>
        <w:t xml:space="preserve">NOTE DE SYNTHÈSE — V2</w:t>
      </w:r>
    </w:p>
    <w:p>
      <w:pPr>
        <w:spacing w:before="200"/>
        <w:jc w:val="center"/>
      </w:pPr>
      <w:r>
        <w:rPr>
          <w:b/>
          <w:bCs/>
          <w:color w:val="1B3A57"/>
          <w:sz w:val="50"/>
          <w:szCs w:val="50"/>
        </w:rPr>
        <w:t xml:space="preserve">L'application Toolbox24</w:t>
      </w:r>
    </w:p>
    <w:p>
      <w:pPr>
        <w:spacing w:before="200"/>
        <w:jc w:val="center"/>
      </w:pPr>
      <w:r>
        <w:rPr>
          <w:i/>
          <w:iCs/>
          <w:color w:val="1B3A57"/>
          <w:sz w:val="24"/>
          <w:szCs w:val="24"/>
        </w:rPr>
        <w:t xml:space="preserve">Ce qu'elle fait, comment elle est construite</w:t>
      </w:r>
    </w:p>
    <w:p>
      <w:pPr>
        <w:spacing w:before="1500"/>
        <w:jc w:val="center"/>
      </w:pPr>
      <w:r>
        <w:rPr>
          <w:color w:val="555555"/>
          <w:sz w:val="22"/>
          <w:szCs w:val="22"/>
        </w:rPr>
        <w:t xml:space="preserve">Préparé pour CSHM Groupe — Toolbox24</w:t>
      </w:r>
    </w:p>
    <w:p>
      <w:pPr>
        <w:spacing w:before="60"/>
        <w:jc w:val="center"/>
      </w:pPr>
      <w:r>
        <w:rPr>
          <w:color w:val="555555"/>
          <w:sz w:val="22"/>
          <w:szCs w:val="22"/>
        </w:rPr>
        <w:t xml:space="preserve">Préparé par Guillaume Boudon · THILLION AGENCY</w:t>
      </w:r>
    </w:p>
    <w:p>
      <w:pPr>
        <w:spacing w:before="60"/>
        <w:jc w:val="center"/>
      </w:pPr>
      <w:r>
        <w:rPr>
          <w:color w:val="555555"/>
          <w:sz w:val="20"/>
          <w:szCs w:val="20"/>
        </w:rPr>
        <w:t xml:space="preserve">Référence : D-2026-003 · Avril 2026</w:t>
      </w:r>
    </w:p>
    <w:p>
      <w:pPr>
        <w:pStyle w:val="Heading1"/>
        <w:pageBreakBefore/>
      </w:pPr>
      <w:r>
        <w:rPr>
          <w:b/>
          <w:bCs/>
          <w:color w:val="1B3A57"/>
          <w:sz w:val="36"/>
          <w:szCs w:val="36"/>
        </w:rPr>
        <w:t xml:space="preserve">1. L'application en bref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Toolbox24 est une plateforme web qui pilote un dispositif physique de location libre-service d'outils professionnels. L'utilisateur réserve en ligne, vient sur site, accède à un sas sécurisé, récupère son matériel dans un casier connecté, l'utilise, puis le restitue. Aucun intermédiaire humain n'intervient sur place.</w:t>
      </w:r>
    </w:p>
    <w:p>
      <w:r>
        <w:t xml:space="preserve"/>
      </w:r>
    </w:p>
    <w:p>
      <w:pPr>
        <w:spacing w:after="80" w:before="80"/>
      </w:pPr>
      <w:r>
        <w:rPr>
          <w:b/>
          <w:bCs/>
          <w:i w:val="false"/>
          <w:iCs w:val="false"/>
          <w:color w:val="000000"/>
          <w:sz w:val="22"/>
          <w:szCs w:val="22"/>
        </w:rPr>
        <w:t xml:space="preserve">Le service couvre quatre cas d'usage 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Location d'un outil unique pour quelques heures à quelques jours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Location d'un pack multi-outils (ex. : kit BTP de 3 outils en une seule opération)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Abonnement professionnel mensuel donnant un tarif préférentiel sur toutes les locations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Vente directe de consommables (mèches, lames, pièces d'usure)</w:t>
      </w:r>
    </w:p>
    <w:p>
      <w:r>
        <w:t xml:space="preserve"/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La sécurité financière repose sur une caution pré-autorisée à la réservation, libérée ou capturée après une validation humaine systématique sous 12 à 24 heures.</w:t>
      </w:r>
    </w:p>
    <w:p>
      <w:pPr>
        <w:pStyle w:val="Heading1"/>
        <w:pageBreakBefore/>
      </w:pPr>
      <w:r>
        <w:rPr>
          <w:b/>
          <w:bCs/>
          <w:color w:val="1B3A57"/>
          <w:sz w:val="36"/>
          <w:szCs w:val="36"/>
        </w:rPr>
        <w:t xml:space="preserve">2. Comment ça fonctionne — côté utilisateur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Le parcours complet, de la réservation à la libération de la caution, en 7 étapes :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226"/>
      </w:tblGrid>
      <w:tr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E07B2C"/>
                <w:sz w:val="24"/>
                <w:szCs w:val="24"/>
              </w:rPr>
              <w:t xml:space="preserve">1</w:t>
            </w:r>
          </w:p>
        </w:tc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Réservation : sélection d'un outil ou d'un pack, choix du créneau, pré-autorisation Stripe (montant prix + caution, sans débit immédiat).</w:t>
            </w:r>
          </w:p>
        </w:tc>
      </w:tr>
      <w:tr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E07B2C"/>
                <w:sz w:val="24"/>
                <w:szCs w:val="24"/>
              </w:rPr>
              <w:t xml:space="preserve">2</w:t>
            </w:r>
          </w:p>
        </w:tc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Préparation : à H-30 minutes, envoi automatique du code PIN par SMS. Rappels par email et notification mobile.</w:t>
            </w:r>
          </w:p>
        </w:tc>
      </w:tr>
      <w:tr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E07B2C"/>
                <w:sz w:val="24"/>
                <w:szCs w:val="24"/>
              </w:rPr>
              <w:t xml:space="preserve">3</w:t>
            </w:r>
          </w:p>
        </w:tc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Authentification borne : scan d'un QR dynamique (régénéré toutes les 90 secondes) ou saisie du code PIN. Ouverture automatique de la porte du sas.</w:t>
            </w:r>
          </w:p>
        </w:tc>
      </w:tr>
      <w:tr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E07B2C"/>
                <w:sz w:val="24"/>
                <w:szCs w:val="24"/>
              </w:rPr>
              <w:t xml:space="preserve">4</w:t>
            </w:r>
          </w:p>
        </w:tc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Retrait : le casier s'ouvre, l'utilisateur prend 3 à 5 photos en mode caméra directe (anti-fraude), retire le matériel, ferme le casier. Pour un pack, ouverture séquentielle d'un casier après l'autre.</w:t>
            </w:r>
          </w:p>
        </w:tc>
      </w:tr>
      <w:tr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E07B2C"/>
                <w:sz w:val="24"/>
                <w:szCs w:val="24"/>
              </w:rPr>
              <w:t xml:space="preserve">5</w:t>
            </w:r>
          </w:p>
        </w:tc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Utilisation : compteur de location démarré, vue session active dans l'app (temps restant, prolongation, signalement de problème).</w:t>
            </w:r>
          </w:p>
        </w:tc>
      </w:tr>
      <w:tr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E07B2C"/>
                <w:sz w:val="24"/>
                <w:szCs w:val="24"/>
              </w:rPr>
              <w:t xml:space="preserve">6</w:t>
            </w:r>
          </w:p>
        </w:tc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Restitution : déclenchement explicite via l'app, retour à la borne, dépôt du matériel, capture de photos d'état final, vidéo continue de quelques secondes, signalement personnel (rien / mineur / majeur).</w:t>
            </w:r>
          </w:p>
        </w:tc>
      </w:tr>
      <w:tr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E07B2C"/>
                <w:sz w:val="24"/>
                <w:szCs w:val="24"/>
              </w:rPr>
              <w:t xml:space="preserve">7</w:t>
            </w:r>
          </w:p>
        </w:tc>
        <w:tc>
          <w:tcPr>
            <w:tcW w:type="dxa" w:w="8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Validation : sous 12 à 24 heures, un opérateur examine les preuves et le scoring de l'IA, puis décide la libération totale, capture partielle ou totale. L'utilisateur est notifié, la facture finale est émise.</w:t>
            </w:r>
          </w:p>
        </w:tc>
      </w:tr>
    </w:tbl>
    <w:p>
      <w:r>
        <w:t xml:space="preserve"/>
      </w:r>
    </w:p>
    <w:p>
      <w:pPr>
        <w:pBdr>
          <w:left w:val="single" w:color="E07B2C" w:sz="16" w:space="8"/>
        </w:pBdr>
        <w:shd w:fill="FFF7ED" w:val="clear"/>
        <w:spacing w:after="100" w:before="100"/>
        <w:ind w:left="240"/>
      </w:pPr>
      <w:r>
        <w:rPr>
          <w:i/>
          <w:iCs/>
          <w:color w:val="92400E"/>
          <w:sz w:val="21"/>
          <w:szCs w:val="21"/>
        </w:rPr>
        <w:t xml:space="preserve">Mode dégradé : si l'utilisateur n'a pas de smartphone, le parcours fonctionne avec saisie de PIN sur la borne. La caméra du sas (option) sert alors de preuve secondaire.</w:t>
      </w:r>
    </w:p>
    <w:p>
      <w:pPr>
        <w:pStyle w:val="Heading1"/>
        <w:pageBreakBefore/>
      </w:pPr>
      <w:r>
        <w:rPr>
          <w:b/>
          <w:bCs/>
          <w:color w:val="1B3A57"/>
          <w:sz w:val="36"/>
          <w:szCs w:val="36"/>
        </w:rPr>
        <w:t xml:space="preserve">3. Comment ça fonctionne — côté équipe Toolbox24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Le back-office permet aux opérateurs de piloter le service au quotidien. Trois rôles avec des droits gradués :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3A57"/>
                <w:sz w:val="19"/>
                <w:szCs w:val="19"/>
              </w:rPr>
              <w:t xml:space="preserve">Opérateur</w:t>
            </w:r>
          </w:p>
        </w:tc>
        <w:tc>
          <w:tcPr>
            <w:tcW w:type="dxa" w:w="68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Validation quotidienne courante des restitutions (file vert et orange), gestion d'incidents, ouvertures manuelles de casier, remboursements jusqu'à un seuil.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3A57"/>
                <w:sz w:val="19"/>
                <w:szCs w:val="19"/>
              </w:rPr>
              <w:t xml:space="preserve">Superviseur</w:t>
            </w:r>
          </w:p>
        </w:tc>
        <w:tc>
          <w:tcPr>
            <w:tcW w:type="dxa" w:w="68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Tout l'opérateur + accès à la file rouge (cas critiques), captures de caution au-dessus du seuil opérateur, gestion d'équipe, reporting.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3A57"/>
                <w:sz w:val="19"/>
                <w:szCs w:val="19"/>
              </w:rPr>
              <w:t xml:space="preserve">Super-administrateur</w:t>
            </w:r>
          </w:p>
        </w:tc>
        <w:tc>
          <w:tcPr>
            <w:tcW w:type="dxa" w:w="68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Tous droits : paramétrage métier (tarifs, cautions, scoring, plan d'abonnement, packs), gestion utilisateurs (suspension, blocage, anonymisation RGPD), gestion sites, audit log.</w:t>
            </w:r>
          </w:p>
        </w:tc>
      </w:tr>
    </w:tbl>
    <w:p>
      <w:pPr>
        <w:pStyle w:val="Heading2"/>
        <w:spacing w:after="100" w:before="200"/>
      </w:pPr>
      <w:r>
        <w:rPr>
          <w:b/>
          <w:bCs/>
          <w:color w:val="1B3A57"/>
          <w:sz w:val="26"/>
          <w:szCs w:val="26"/>
        </w:rPr>
        <w:t xml:space="preserve">Trois files de validation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Chaque restitution est classée automatiquement par le moteur d'analyse 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Rouge : </w:t>
      </w:r>
      <w:r>
        <w:t xml:space="preserve">anomalie confirmée ou signal critique. À traiter sous 6 heures.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Orange : </w:t>
      </w:r>
      <w:r>
        <w:t xml:space="preserve">doute, incertitude entre signaux, mode dégradé. À traiter sous 12 heures.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Vert : </w:t>
      </w:r>
      <w:r>
        <w:t xml:space="preserve">restitution conforme. Échantillonnage aléatoire pour contrôle qualité, à traiter sous 24 heures.</w:t>
      </w:r>
    </w:p>
    <w:p>
      <w:r>
        <w:t xml:space="preserve"/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L'opérateur ouvre le dossier, consulte les preuves (photos avant/après, vidéo, signalement, scoring détaillé, fiche utilisateur, historique), puis décide : libération totale, capture partielle (avec montant et motif), capture totale, demande de complément, ou escalade.</w:t>
      </w:r>
    </w:p>
    <w:p>
      <w:pPr>
        <w:pStyle w:val="Heading2"/>
        <w:spacing w:after="100" w:before="200"/>
      </w:pPr>
      <w:r>
        <w:rPr>
          <w:b/>
          <w:bCs/>
          <w:color w:val="1B3A57"/>
          <w:sz w:val="26"/>
          <w:szCs w:val="26"/>
        </w:rPr>
        <w:t xml:space="preserve">Paramétrage dynamique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Toutes les règles métier sont paramétrables côté super-administrateur, sans intervention technique 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Grille tarifaire (heure, demi-journée, journée, semaine, multiplicateur B2B)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Cautions par catégorie ou par outil spécifique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Pénalités de retard (tolérance, barème progressif, plafond)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Plages horaires d'ouverture du dispositif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Pondérations du moteur de scoring et seuils V/O/R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Templates de notifications email et SMS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Plan d'abonnement (prix, avantages)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Politique de rétention des données</w:t>
      </w:r>
    </w:p>
    <w:p>
      <w:pPr>
        <w:pStyle w:val="Heading1"/>
        <w:pageBreakBefore/>
      </w:pPr>
      <w:r>
        <w:rPr>
          <w:b/>
          <w:bCs/>
          <w:color w:val="1B3A57"/>
          <w:sz w:val="36"/>
          <w:szCs w:val="36"/>
        </w:rPr>
        <w:t xml:space="preserve">4. Le moteur d'aide à la décision (caution)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Au moment du retour, un moteur agrège plusieurs signaux pour produire une recommandation à l'opérateur. La décision finale reste systématiquement humaine.</w:t>
      </w:r>
    </w:p>
    <w:p>
      <w:pPr>
        <w:pStyle w:val="Heading2"/>
        <w:spacing w:after="100" w:before="200"/>
      </w:pPr>
      <w:r>
        <w:rPr>
          <w:b/>
          <w:bCs/>
          <w:color w:val="1B3A57"/>
          <w:sz w:val="26"/>
          <w:szCs w:val="26"/>
        </w:rPr>
        <w:t xml:space="preserve">Quatre catégories de signaux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Capteurs Kasier : </w:t>
      </w:r>
      <w:r>
        <w:t xml:space="preserve">fermeture du casier, ouverture forcée, RFID (option), balance (option). Pondération forte.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Photos avant/après : </w:t>
      </w:r>
      <w:r>
        <w:t xml:space="preserve">analyse différentielle par OpenAI Vision (détection de dégradations, éléments manquants). Pondération moyenne à forte.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Signalement utilisateur : </w:t>
      </w:r>
      <w:r>
        <w:t xml:space="preserve">rien / mineur / majeur + texte libre. Pondération faible mais modulateur d'honnêteté important.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Historique comportemental : </w:t>
      </w:r>
      <w:r>
        <w:t xml:space="preserve">incidents passés, retards, litiges, profil de risque. Pondération faible mais permet de valoriser les utilisateurs fidèles.</w:t>
      </w:r>
    </w:p>
    <w:p>
      <w:pPr>
        <w:pStyle w:val="Heading2"/>
        <w:spacing w:after="100" w:before="200"/>
      </w:pPr>
      <w:r>
        <w:rPr>
          <w:b/>
          <w:bCs/>
          <w:color w:val="1B3A57"/>
          <w:sz w:val="26"/>
          <w:szCs w:val="26"/>
        </w:rPr>
        <w:t xml:space="preserve">Calcul du score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Score compris entre 0 (parfaitement conforme) et 1 (anomalie maximale). Calcul en cinq étapes 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Score individuel par signal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Pondération selon les paramètres en vigueur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Application des modulateurs (bonus honnêteté, malus incohérence déclarative, malus mode dégradé)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Application des garde-fous (forçage rouge automatique sur signal critique)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Attribution du statut Vert / Orange / Rouge selon les seuils</w:t>
      </w:r>
    </w:p>
    <w:p>
      <w:pPr>
        <w:pStyle w:val="Heading2"/>
        <w:spacing w:after="100" w:before="200"/>
      </w:pPr>
      <w:r>
        <w:rPr>
          <w:b/>
          <w:bCs/>
          <w:color w:val="1B3A57"/>
          <w:sz w:val="26"/>
          <w:szCs w:val="26"/>
        </w:rPr>
        <w:t xml:space="preserve">Justification produite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Le moteur génère une phrase explicative en langage clair, lisible par l'opérateur et communicable à l'utilisateur en cas de contestation. Exemple :</w:t>
      </w:r>
    </w:p>
    <w:p>
      <w:pPr>
        <w:pBdr>
          <w:left w:val="single" w:color="E07B2C" w:sz="16" w:space="8"/>
        </w:pBdr>
        <w:shd w:fill="FFF7ED" w:val="clear"/>
        <w:spacing w:after="100" w:before="100"/>
        <w:ind w:left="240"/>
      </w:pPr>
      <w:r>
        <w:rPr>
          <w:i/>
          <w:iCs/>
          <w:color w:val="92400E"/>
          <w:sz w:val="21"/>
          <w:szCs w:val="21"/>
        </w:rPr>
        <w:t xml:space="preserve">« VERT — Restitution conforme. Casier confirmé fermé en 7 secondes. Vision : dégradation mineure détectée sur photo 3 (rayure embout). Signalement utilisateur cohérent (« incident mineur — j'ai rayé l'embout »). Profil utilisateur favorable (8 locations, 0 incident). Modulateur honnêteté appliqué (-0.10). Score final : 0.09. »</w:t>
      </w:r>
    </w:p>
    <w:p>
      <w:r>
        <w:t xml:space="preserve"/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La vidéo continue capturée à la restitution est conservée comme preuve humaine en cas de litige, mais n'est pas analysée par l'IA (coût, fiabilité, RGPD).</w:t>
      </w:r>
    </w:p>
    <w:p>
      <w:pPr>
        <w:pStyle w:val="Heading1"/>
        <w:pageBreakBefore/>
      </w:pPr>
      <w:r>
        <w:rPr>
          <w:b/>
          <w:bCs/>
          <w:color w:val="1B3A57"/>
          <w:sz w:val="36"/>
          <w:szCs w:val="36"/>
        </w:rPr>
        <w:t xml:space="preserve">5. Le dispositif physique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Le site pilote est constitué d'un container ou d'une boutique sécurisée, équipée par le partenaire Kasier.fr. Composition :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Sas d'accès : </w:t>
      </w:r>
      <w:r>
        <w:t xml:space="preserve">espace fermé dans lequel l'utilisateur entre. Porte automatisée commandée par la plateforme.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Borne d'authentification : </w:t>
      </w:r>
      <w:r>
        <w:t xml:space="preserve">écran tactile et clavier PIN physique, fournis par Kasier.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Casiers connectés : </w:t>
      </w:r>
      <w:r>
        <w:t xml:space="preserve">compartiments individuels avec serrure et capteur de fermeture. Plusieurs casiers par site.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Capteurs optionnels : </w:t>
      </w:r>
      <w:r>
        <w:t xml:space="preserve">RFID (identification univoque du matériel restitué), balance intégrée (pesée comparée à la valeur de référence). À arbitrer en Phase 1.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Caméra interne (optionnelle) : </w:t>
      </w:r>
      <w:r>
        <w:t xml:space="preserve">preuve visuelle de secours en cas de mode dégradé sans smartphone.</w:t>
      </w:r>
    </w:p>
    <w:p>
      <w:r>
        <w:t xml:space="preserve"/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La plateforme communique avec le matériel Kasier via une couche d'abstraction logicielle, ce qui rend possible un changement de fournisseur ultérieur sans réécriture complète.</w:t>
      </w:r>
    </w:p>
    <w:p>
      <w:pPr>
        <w:pStyle w:val="Heading1"/>
        <w:pageBreakBefore/>
      </w:pPr>
      <w:r>
        <w:rPr>
          <w:b/>
          <w:bCs/>
          <w:color w:val="1B3A57"/>
          <w:sz w:val="36"/>
          <w:szCs w:val="36"/>
        </w:rPr>
        <w:t xml:space="preserve">6. Architecture technique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L'application est conçue comme un monolithe Next.js déployé sur Vercel, qui sert à la fois l'interface utilisateur (PWA), le back-office administrateur et l'API métier. Choix structurants :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rPr>
          <w:tblHeader/>
        </w:trP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Brique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Choix et rôle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Frontend + API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Next.js 14 sur Vercel. Interface utilisateur, back-office admin et API métier dans un seul déploiement.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Couche API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Hono via @hono/nextjs. Validation des entrées par Zod, génération automatique de la documentation OpenAPI.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Base de données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Supabase Postgres avec Row Level Security (RLS). Multi-tenant par site_id, sécurité par ligne. ORM Drizzle pour l'accès type-safe.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Authentification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Supabase Auth. Magic link, mot de passe, double authentification TOTP pour les comptes administrateurs.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Stockage médias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Cloudflare R2. Photos et vidéos stockées via signed URLs, EXIF strippé, hash SHA-256 pour intégrité.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Jobs et workflows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Inngest. Step functions pour les workflows multi-étapes (cycle de location, libération de caution différée).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Paiement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Stripe avec Stripe Elements (PCI-DSS SAQ-A). Pré-autorisations, captures partielles, abonnements via Stripe Subscriptions et Customer Portal.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Email transactionnel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Resend avec templates JSX (React Email).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SMS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Brevo (couverture France). Politique multi-canal restrictive paramétrable.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IA Vision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OpenAI Vision (gpt-4o-mini). Analyse différentielle photos avant/après par item.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Comptabilité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Pennylane (à confirmer). Conformité française, intégration Stripe native, archivage 10 ans.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Observabilité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Sentry (erreurs front et back), Inngest dashboard (jobs), logs Supabase.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Driver matériel</w:t>
            </w:r>
          </w:p>
        </w:tc>
        <w:tc>
          <w:tcPr>
            <w:tcW w:type="dxa" w:w="6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Couche d'abstraction LockerProvider en TypeScript. Driver Kasier, mock pour le développement, réversibilité fournisseur préservée.</w:t>
            </w:r>
          </w:p>
        </w:tc>
      </w:tr>
    </w:tbl>
    <w:p>
      <w:pPr>
        <w:pStyle w:val="Heading1"/>
        <w:pageBreakBefore/>
      </w:pPr>
      <w:r>
        <w:rPr>
          <w:b/>
          <w:bCs/>
          <w:color w:val="1B3A57"/>
          <w:sz w:val="36"/>
          <w:szCs w:val="36"/>
        </w:rPr>
        <w:t xml:space="preserve">7. Modèle de données simplifié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Les données sont organisées en bounded contexts pour limiter le couplage. Vue d'ensemble des entités principales :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Identité : </w:t>
      </w:r>
      <w:r>
        <w:t xml:space="preserve">users (compte), b2b_profiles (info entreprise), user_fraud_signals (historique comportemental), audit_log (journal immuable des actions sensibles).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Catalogue : </w:t>
      </w:r>
      <w:r>
        <w:t xml:space="preserve">tools (outils), tool_categories, lockers (casiers physiques), sites, packs (assemblages prédéfinis), tool_maintenance_log.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Location : </w:t>
      </w:r>
      <w:r>
        <w:t xml:space="preserve">rentals (sessions), rental_items (un par outil dans une session), rental_events (historique append-only).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Paiement : </w:t>
      </w:r>
      <w:r>
        <w:t xml:space="preserve">payment_authorizations (pré-autorisations Stripe), invoices (factures et avoirs avec numérotation séquentielle).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Abonnement : </w:t>
      </w:r>
      <w:r>
        <w:t xml:space="preserve">subscription_plans (plans), subscriptions (souscriptions actives).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Scoring : </w:t>
      </w:r>
      <w:r>
        <w:t xml:space="preserve">scoring_snapshots (résultats du moteur par item), media_assets (photos et vidéos avec rétention).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Configuration : </w:t>
      </w:r>
      <w:r>
        <w:t xml:space="preserve">pricing_rules, caution_rules, penalty_rules, scoring_weights, notification_templates — toutes versionnées avec date d'effet.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Opérations : </w:t>
      </w:r>
      <w:r>
        <w:t xml:space="preserve">incidents, validation_decisions (décisions opérateur), refund_requests.</w:t>
      </w:r>
    </w:p>
    <w:p>
      <w:r>
        <w:t xml:space="preserve"/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Principe structurant : la séparation rentals (la session) / rental_items (les outils inclus) permet le support natif des packs multi-outils. Toutes les entités métier portent une référence au site_id, ce qui rend le système multi-tenant prêt dès le MVP.</w:t>
      </w:r>
    </w:p>
    <w:p>
      <w:pPr>
        <w:pStyle w:val="Heading2"/>
        <w:spacing w:after="100" w:before="200"/>
      </w:pPr>
      <w:r>
        <w:rPr>
          <w:b/>
          <w:bCs/>
          <w:color w:val="1B3A57"/>
          <w:sz w:val="26"/>
          <w:szCs w:val="26"/>
        </w:rPr>
        <w:t xml:space="preserve">Machine à états des sessions</w:t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Chaque session traverse plusieurs états :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rPr>
          <w:tblHeader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État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3A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Signification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9"/>
                <w:szCs w:val="19"/>
              </w:rPr>
              <w:t xml:space="preserve">RESERVED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Réservation créée et pré-autorisée, en attente du retrait.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9"/>
                <w:szCs w:val="19"/>
              </w:rPr>
              <w:t xml:space="preserve">CANCELLED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Annulée avant retrait (utilisateur ou no-show H+15).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9"/>
                <w:szCs w:val="19"/>
              </w:rPr>
              <w:t xml:space="preserve">PICKUP_IN_PROGRESS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Borne validée, casiers en cours d'ouverture séquentielle.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9"/>
                <w:szCs w:val="19"/>
              </w:rPr>
              <w:t xml:space="preserve">IN_PROGRESS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Tous les outils retirés, compteur démarré.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9"/>
                <w:szCs w:val="19"/>
              </w:rPr>
              <w:t xml:space="preserve">OVERDUE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Slot dépassé, pas encore de retour, pénalités appliquées.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9"/>
                <w:szCs w:val="19"/>
              </w:rPr>
              <w:t xml:space="preserve">RETURN_INITIATED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Utilisateur a déclenché le retour, en route vers la borne.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9"/>
                <w:szCs w:val="19"/>
              </w:rPr>
              <w:t xml:space="preserve">PENDING_VALIDATION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Tous les outils restitués, en attente décision opérateur.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9"/>
                <w:szCs w:val="19"/>
              </w:rPr>
              <w:t xml:space="preserve">CLOSED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Décisions prises pour tous les items, session clôturée.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00000"/>
                <w:sz w:val="19"/>
                <w:szCs w:val="19"/>
              </w:rPr>
              <w:t xml:space="preserve">DISPUTED</w:t>
            </w:r>
          </w:p>
        </w:tc>
        <w:tc>
          <w:tcPr>
            <w:tcW w:type="dxa" w:w="6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Contestation utilisateur ou litige bancaire en cours.</w:t>
            </w:r>
          </w:p>
        </w:tc>
      </w:tr>
    </w:tbl>
    <w:p>
      <w:r>
        <w:t xml:space="preserve"/>
      </w:r>
    </w:p>
    <w:p>
      <w:pPr>
        <w:spacing w:after="80" w:before="80"/>
      </w:pPr>
      <w:r>
        <w:rPr>
          <w:b w:val="false"/>
          <w:bCs w:val="false"/>
          <w:i w:val="false"/>
          <w:iCs w:val="false"/>
          <w:color w:val="000000"/>
          <w:sz w:val="22"/>
          <w:szCs w:val="22"/>
        </w:rPr>
        <w:t xml:space="preserve">Les transitions sont déterministes et tracées. Pour les packs multi-outils, des transitions composites (all_items_picked, all_items_returned, all_items_validated) ne se déclenchent qu'une fois tous les items concernés ont franchi leur étape.</w:t>
      </w:r>
    </w:p>
    <w:p>
      <w:pPr>
        <w:pStyle w:val="Heading1"/>
        <w:pageBreakBefore/>
      </w:pPr>
      <w:r>
        <w:rPr>
          <w:b/>
          <w:bCs/>
          <w:color w:val="1B3A57"/>
          <w:sz w:val="36"/>
          <w:szCs w:val="36"/>
        </w:rPr>
        <w:t xml:space="preserve">8. Sécurité et conformité</w:t>
      </w:r>
    </w:p>
    <w:p>
      <w:pPr>
        <w:pStyle w:val="Heading2"/>
        <w:spacing w:after="100" w:before="200"/>
      </w:pPr>
      <w:r>
        <w:rPr>
          <w:b/>
          <w:bCs/>
          <w:color w:val="1B3A57"/>
          <w:sz w:val="26"/>
          <w:szCs w:val="26"/>
        </w:rPr>
        <w:t xml:space="preserve">Sécurité applicative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Authentification : </w:t>
      </w:r>
      <w:r>
        <w:t xml:space="preserve">double facteur TOTP obligatoire pour les comptes administrateurs, magic link disponible pour les utilisateurs finaux.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Autorisation : </w:t>
      </w:r>
      <w:r>
        <w:t xml:space="preserve">Row Level Security (RLS) Postgres activée sur toutes les tables sensibles, vérifiée à chaque requête, avec rôles gradués (operator, supervisor, super_admin).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Communication borne : </w:t>
      </w:r>
      <w:r>
        <w:t xml:space="preserve">API key dédiée par site, signature HMAC-SHA256 avec versioning de clé, rotation tous les 30 jours, tokens QR avec nonce et expiration 90 secondes.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Médias : </w:t>
      </w:r>
      <w:r>
        <w:t xml:space="preserve">EXIF strippé côté serveur, hash SHA-256 stocké pour intégrité, signed URLs Cloudflare R2 avec expiration 15 minutes, mode caméra directe imposé (pas d'upload galerie).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Limitation de débit : </w:t>
      </w:r>
      <w:r>
        <w:t xml:space="preserve">rate limiting strict par utilisateur et par adresse IP sur les endpoints sensibles.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Audit : </w:t>
      </w:r>
      <w:r>
        <w:t xml:space="preserve">journal immuable (append-only) des actions administrateur et événements critiques, garanti par RLS et trigger Postgres.</w:t>
      </w:r>
    </w:p>
    <w:p>
      <w:pPr>
        <w:pStyle w:val="Heading2"/>
        <w:spacing w:after="100" w:before="200"/>
      </w:pPr>
      <w:r>
        <w:rPr>
          <w:b/>
          <w:bCs/>
          <w:color w:val="1B3A57"/>
          <w:sz w:val="26"/>
          <w:szCs w:val="26"/>
        </w:rPr>
        <w:t xml:space="preserve">Conformité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PCI-DSS : </w:t>
      </w:r>
      <w:r>
        <w:t xml:space="preserve">niveau SAQ-A. Stripe Elements gère 100 % de la saisie carte, aucune donnée carte ne transite par les serveurs Toolbox24.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RGPD : </w:t>
      </w:r>
      <w:r>
        <w:t xml:space="preserve">DPIA à conduire par DPO externe, registre des traitements, contrats de sous-traitance avec Stripe, Supabase, OpenAI, Resend, Brevo, Cloudflare. Politique de rétention des médias 90 jours par défaut, prolongée en cas de litige.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PSD2 / SCA : </w:t>
      </w:r>
      <w:r>
        <w:t xml:space="preserve">authentification forte (3D Secure) gérée automatiquement par Stripe pour les transactions concernées.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b/>
          <w:bCs/>
        </w:rPr>
        <w:t xml:space="preserve">NF525 : </w:t>
      </w:r>
      <w:r>
        <w:t xml:space="preserve">facturation conforme française avec numérotation séquentielle continue (advisory lock Postgres), mentions légales obligatoires, archivage 10 ans, gestion des avoirs.</w:t>
      </w:r>
    </w:p>
    <w:p>
      <w:pPr>
        <w:pStyle w:val="Heading2"/>
        <w:spacing w:after="100" w:before="200"/>
      </w:pPr>
      <w:r>
        <w:rPr>
          <w:b/>
          <w:bCs/>
          <w:color w:val="1B3A57"/>
          <w:sz w:val="26"/>
          <w:szCs w:val="26"/>
        </w:rPr>
        <w:t xml:space="preserve">Performance attendue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Disponibilité globale : 99,5 % en moyenne mensuelle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Latence p95 du catalogue : moins de 500 ms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Latence p95 d'une réservation simple : moins de 1,5 sec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Latence p95 d'une réservation pack (3 outils) : moins de 2 sec (lock atomique multi-casier)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Latence p95 d'ouverture d'un casier : moins de 2 sec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t xml:space="preserve">Délai de libération de caution post-validation opérateur : moins d'une heure</w:t>
      </w:r>
    </w:p>
    <w:p>
      <w:r>
        <w:t xml:space="preserve"/>
      </w:r>
    </w:p>
    <w:p>
      <w:r>
        <w:t xml:space="preserve"/>
      </w:r>
    </w:p>
    <w:p>
      <w:pPr>
        <w:spacing w:after="80" w:before="80"/>
        <w:jc w:val="center"/>
      </w:pPr>
      <w:r>
        <w:rPr>
          <w:b w:val="false"/>
          <w:bCs w:val="false"/>
          <w:i/>
          <w:iCs/>
          <w:color w:val="555555"/>
          <w:sz w:val="20"/>
          <w:szCs w:val="20"/>
        </w:rPr>
        <w:t xml:space="preserve">— Fin de la note de synthèse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55555"/>
        <w:sz w:val="18"/>
        <w:szCs w:val="18"/>
      </w:rPr>
      <w:t xml:space="preserve">CSHM Groupe &amp; THILLION Agency — Avril 2026 — Page </w:t>
    </w:r>
    <w:r>
      <w:rPr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555555"/>
        <w:sz w:val="18"/>
        <w:szCs w:val="18"/>
      </w:rPr>
      <w:t xml:space="preserve"> / </w:t>
    </w:r>
    <w:r>
      <w:rPr>
        <w:color w:val="55555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555555"/>
        <w:sz w:val="18"/>
        <w:szCs w:val="18"/>
      </w:rPr>
      <w:t xml:space="preserve">Toolbox24 · Note de synthèse · V2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Calibri" w:cs="Calibri" w:eastAsia="Calibri" w:hAnsi="Calibri"/>
      <w:b/>
      <w:bCs/>
      <w:color w:val="1B3A57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B3A5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Toolbox24 — Note de synthèse V2 (allégée)</dc:title>
  <dc:creator>Thillion Agency — Guillaume Boudon</dc:creator>
  <dc:description>Synthèse produit et technique sans business ni planning</dc:description>
  <cp:lastModifiedBy>Un-named</cp:lastModifiedBy>
  <cp:revision>1</cp:revision>
  <dcterms:created xsi:type="dcterms:W3CDTF">2026-05-03T23:10:33.049Z</dcterms:created>
  <dcterms:modified xsi:type="dcterms:W3CDTF">2026-05-03T23:10:33.049Z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